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0E" w:rsidRDefault="00E8760E" w:rsidP="00432671">
      <w:pPr>
        <w:snapToGrid w:val="0"/>
        <w:spacing w:line="600" w:lineRule="atLeast"/>
        <w:rPr>
          <w:rFonts w:ascii="黑体" w:eastAsia="黑体" w:hAnsi="黑体"/>
          <w:color w:val="000000" w:themeColor="text1"/>
          <w:sz w:val="32"/>
          <w:szCs w:val="32"/>
        </w:rPr>
      </w:pPr>
      <w:bookmarkStart w:id="0" w:name="_GoBack"/>
      <w:bookmarkEnd w:id="0"/>
      <w:r w:rsidRPr="00432671">
        <w:rPr>
          <w:rFonts w:ascii="黑体" w:eastAsia="黑体" w:hAnsi="黑体" w:hint="eastAsia"/>
          <w:color w:val="000000" w:themeColor="text1"/>
          <w:sz w:val="32"/>
          <w:szCs w:val="32"/>
        </w:rPr>
        <w:t>附件</w:t>
      </w:r>
    </w:p>
    <w:p w:rsidR="00432671" w:rsidRPr="00432671" w:rsidRDefault="00432671" w:rsidP="00432671">
      <w:pPr>
        <w:snapToGrid w:val="0"/>
        <w:spacing w:line="600" w:lineRule="atLeast"/>
        <w:rPr>
          <w:rFonts w:ascii="黑体" w:eastAsia="黑体" w:hAnsi="黑体"/>
          <w:color w:val="000000" w:themeColor="text1"/>
          <w:sz w:val="32"/>
          <w:szCs w:val="32"/>
        </w:rPr>
      </w:pPr>
    </w:p>
    <w:p w:rsidR="00E8760E" w:rsidRPr="00432671" w:rsidRDefault="00E8760E" w:rsidP="00432671">
      <w:pPr>
        <w:snapToGrid w:val="0"/>
        <w:spacing w:line="600" w:lineRule="atLeast"/>
        <w:jc w:val="center"/>
        <w:rPr>
          <w:rFonts w:ascii="方正小标宋简体" w:eastAsia="方正小标宋简体"/>
          <w:color w:val="000000" w:themeColor="text1"/>
          <w:sz w:val="44"/>
          <w:szCs w:val="44"/>
        </w:rPr>
      </w:pPr>
      <w:r w:rsidRPr="00432671">
        <w:rPr>
          <w:rFonts w:ascii="方正小标宋简体" w:eastAsia="方正小标宋简体" w:hint="eastAsia"/>
          <w:color w:val="000000" w:themeColor="text1"/>
          <w:sz w:val="44"/>
          <w:szCs w:val="44"/>
        </w:rPr>
        <w:t>甘肃省城市（县城）污水处理提质增效</w:t>
      </w:r>
    </w:p>
    <w:p w:rsidR="00E8760E" w:rsidRPr="00432671" w:rsidRDefault="00E8760E" w:rsidP="00432671">
      <w:pPr>
        <w:snapToGrid w:val="0"/>
        <w:spacing w:line="600" w:lineRule="atLeast"/>
        <w:jc w:val="center"/>
        <w:rPr>
          <w:rFonts w:ascii="方正小标宋简体" w:eastAsia="方正小标宋简体"/>
          <w:color w:val="000000" w:themeColor="text1"/>
          <w:sz w:val="44"/>
          <w:szCs w:val="44"/>
        </w:rPr>
      </w:pPr>
      <w:r w:rsidRPr="00432671">
        <w:rPr>
          <w:rFonts w:ascii="方正小标宋简体" w:eastAsia="方正小标宋简体" w:hint="eastAsia"/>
          <w:color w:val="000000" w:themeColor="text1"/>
          <w:sz w:val="44"/>
          <w:szCs w:val="44"/>
        </w:rPr>
        <w:t>三年行动实施方案（2019-2021年）</w:t>
      </w:r>
    </w:p>
    <w:p w:rsidR="00E8760E" w:rsidRPr="00FF328B" w:rsidRDefault="00E8760E" w:rsidP="00432671">
      <w:pPr>
        <w:snapToGrid w:val="0"/>
        <w:spacing w:line="600" w:lineRule="atLeast"/>
        <w:rPr>
          <w:rFonts w:ascii="仿宋_GB2312" w:eastAsia="仿宋_GB2312"/>
          <w:color w:val="000000" w:themeColor="text1"/>
          <w:sz w:val="32"/>
          <w:szCs w:val="32"/>
        </w:rPr>
      </w:pP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为进一步加快推进城市（县城）污水处理处置工作，督促各地加快补齐城市环境基础设施短板，提升城市（县城）污水处理设施服务水平，根据住房和城乡建设部、生态环境部、国家发展改革委印发的《城镇污水处理提质增效三年行动方案》要求，结合我省实际，制定本实施方案。</w:t>
      </w:r>
    </w:p>
    <w:p w:rsidR="00432671" w:rsidRPr="00432671" w:rsidRDefault="00E8760E" w:rsidP="00432671">
      <w:pPr>
        <w:snapToGrid w:val="0"/>
        <w:spacing w:line="600" w:lineRule="atLeast"/>
        <w:ind w:firstLineChars="200" w:firstLine="640"/>
        <w:rPr>
          <w:rFonts w:ascii="黑体" w:eastAsia="黑体" w:hAnsi="黑体"/>
          <w:color w:val="000000" w:themeColor="text1"/>
          <w:sz w:val="32"/>
          <w:szCs w:val="32"/>
        </w:rPr>
      </w:pPr>
      <w:r w:rsidRPr="00432671">
        <w:rPr>
          <w:rFonts w:ascii="黑体" w:eastAsia="黑体" w:hAnsi="黑体" w:hint="eastAsia"/>
          <w:color w:val="000000" w:themeColor="text1"/>
          <w:sz w:val="32"/>
          <w:szCs w:val="32"/>
        </w:rPr>
        <w:t>一、总体要求</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（一）指导思想</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以习近平新时代中国特色社会主义思想为指导，全面贯彻落实党的十九大、十九届二中、三中全会和全国生态环境保护大会精神，协同推动经济高质量发展和生态环境高水平保护，围绕打好污染防治攻坚战的总体要求，全面推进城市（县城）污水处理处置工作，加快补齐城市（县城）环境基础设施短板，大力提升城市（县城）生活污水收集处理能力和水平，尽快实现全省城市建成区污水管网全覆盖，生活污水全收集、</w:t>
      </w:r>
      <w:proofErr w:type="gramStart"/>
      <w:r w:rsidRPr="00FF328B">
        <w:rPr>
          <w:rFonts w:ascii="仿宋_GB2312" w:eastAsia="仿宋_GB2312" w:hint="eastAsia"/>
          <w:color w:val="000000" w:themeColor="text1"/>
          <w:sz w:val="32"/>
          <w:szCs w:val="32"/>
        </w:rPr>
        <w:t>全处理</w:t>
      </w:r>
      <w:proofErr w:type="gramEnd"/>
      <w:r w:rsidRPr="00FF328B">
        <w:rPr>
          <w:rFonts w:ascii="仿宋_GB2312" w:eastAsia="仿宋_GB2312" w:hint="eastAsia"/>
          <w:color w:val="000000" w:themeColor="text1"/>
          <w:sz w:val="32"/>
          <w:szCs w:val="32"/>
        </w:rPr>
        <w:t>目标。</w:t>
      </w:r>
    </w:p>
    <w:p w:rsid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（二）主要目标</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到2019年底，全省城市生活污水集中收集率</w:t>
      </w:r>
      <w:r w:rsidR="002313DB">
        <w:rPr>
          <w:rFonts w:ascii="仿宋_GB2312" w:eastAsia="仿宋_GB2312" w:hint="eastAsia"/>
          <w:color w:val="000000" w:themeColor="text1"/>
          <w:sz w:val="32"/>
          <w:szCs w:val="32"/>
        </w:rPr>
        <w:t>平均</w:t>
      </w:r>
      <w:r w:rsidRPr="00FF328B">
        <w:rPr>
          <w:rFonts w:ascii="仿宋_GB2312" w:eastAsia="仿宋_GB2312" w:hint="eastAsia"/>
          <w:color w:val="000000" w:themeColor="text1"/>
          <w:sz w:val="32"/>
          <w:szCs w:val="32"/>
        </w:rPr>
        <w:t>达到68%</w:t>
      </w:r>
      <w:r w:rsidRPr="00FF328B">
        <w:rPr>
          <w:rFonts w:ascii="仿宋_GB2312" w:eastAsia="仿宋_GB2312" w:hint="eastAsia"/>
          <w:color w:val="000000" w:themeColor="text1"/>
          <w:sz w:val="32"/>
          <w:szCs w:val="32"/>
        </w:rPr>
        <w:lastRenderedPageBreak/>
        <w:t>以上，污水处理厂进水生化需氧量（BOD）浓度原则上不低于现状底数。</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到2020年底，全省城市生活污水集中收集率</w:t>
      </w:r>
      <w:r w:rsidR="002313DB">
        <w:rPr>
          <w:rFonts w:ascii="仿宋_GB2312" w:eastAsia="仿宋_GB2312" w:hint="eastAsia"/>
          <w:color w:val="000000" w:themeColor="text1"/>
          <w:sz w:val="32"/>
          <w:szCs w:val="32"/>
        </w:rPr>
        <w:t>平均</w:t>
      </w:r>
      <w:r w:rsidRPr="00FF328B">
        <w:rPr>
          <w:rFonts w:ascii="仿宋_GB2312" w:eastAsia="仿宋_GB2312" w:hint="eastAsia"/>
          <w:color w:val="000000" w:themeColor="text1"/>
          <w:sz w:val="32"/>
          <w:szCs w:val="32"/>
        </w:rPr>
        <w:t>达到70%以上，污水处理厂进水生化需氧量（BOD）浓度原则上不低于现状底数；各地级城市建成区基本消除黑臭水体。</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到</w:t>
      </w:r>
      <w:r w:rsidR="00801745">
        <w:rPr>
          <w:rFonts w:ascii="仿宋_GB2312" w:eastAsia="仿宋_GB2312" w:hint="eastAsia"/>
          <w:color w:val="000000" w:themeColor="text1"/>
          <w:sz w:val="32"/>
          <w:szCs w:val="32"/>
        </w:rPr>
        <w:t>202</w:t>
      </w:r>
      <w:r w:rsidR="00801745">
        <w:rPr>
          <w:rFonts w:ascii="仿宋_GB2312" w:eastAsia="仿宋_GB2312"/>
          <w:color w:val="000000" w:themeColor="text1"/>
          <w:sz w:val="32"/>
          <w:szCs w:val="32"/>
        </w:rPr>
        <w:t>1</w:t>
      </w:r>
      <w:r w:rsidRPr="00FF328B">
        <w:rPr>
          <w:rFonts w:ascii="仿宋_GB2312" w:eastAsia="仿宋_GB2312" w:hint="eastAsia"/>
          <w:color w:val="000000" w:themeColor="text1"/>
          <w:sz w:val="32"/>
          <w:szCs w:val="32"/>
        </w:rPr>
        <w:t>年底，全省城市生活污水集中收集率</w:t>
      </w:r>
      <w:r w:rsidR="002313DB">
        <w:rPr>
          <w:rFonts w:ascii="仿宋_GB2312" w:eastAsia="仿宋_GB2312" w:hint="eastAsia"/>
          <w:color w:val="000000" w:themeColor="text1"/>
          <w:sz w:val="32"/>
          <w:szCs w:val="32"/>
        </w:rPr>
        <w:t>平均</w:t>
      </w:r>
      <w:r w:rsidRPr="00FF328B">
        <w:rPr>
          <w:rFonts w:ascii="仿宋_GB2312" w:eastAsia="仿宋_GB2312" w:hint="eastAsia"/>
          <w:color w:val="000000" w:themeColor="text1"/>
          <w:sz w:val="32"/>
          <w:szCs w:val="32"/>
        </w:rPr>
        <w:t>达到72%以上；各地级城市建成区基本无生活污水直排口，基本消除城中村、老旧城区和城乡结合部生活污水收集处理设施空白区，生活污水集中收集率达到70%或在现状基础上增长10个百分点，污水处理率达到95%以上，污水处理厂进水生化需氧量（BOD）浓度原则上不低于现状底数；各县级城市生活污水集中收集率达到70%或在现状基础上增长10个百分点，污水处理率达到95%以上，临夏市、玉门市、华亭市、敦煌市污水处理厂进水生化需氧量（BOD）浓度原则上不低于现状底数，</w:t>
      </w:r>
      <w:proofErr w:type="gramStart"/>
      <w:r w:rsidRPr="00FF328B">
        <w:rPr>
          <w:rFonts w:ascii="仿宋_GB2312" w:eastAsia="仿宋_GB2312" w:hint="eastAsia"/>
          <w:color w:val="000000" w:themeColor="text1"/>
          <w:sz w:val="32"/>
          <w:szCs w:val="32"/>
        </w:rPr>
        <w:t>合作市</w:t>
      </w:r>
      <w:proofErr w:type="gramEnd"/>
      <w:r w:rsidRPr="00FF328B">
        <w:rPr>
          <w:rFonts w:ascii="仿宋_GB2312" w:eastAsia="仿宋_GB2312" w:hint="eastAsia"/>
          <w:color w:val="000000" w:themeColor="text1"/>
          <w:sz w:val="32"/>
          <w:szCs w:val="32"/>
        </w:rPr>
        <w:t>污水处理厂进水生化需氧量（BOD）浓度力争达到100mg/L。</w:t>
      </w:r>
    </w:p>
    <w:p w:rsidR="00432671" w:rsidRPr="00432671" w:rsidRDefault="00E8760E" w:rsidP="00432671">
      <w:pPr>
        <w:snapToGrid w:val="0"/>
        <w:spacing w:line="600" w:lineRule="atLeast"/>
        <w:ind w:firstLineChars="200" w:firstLine="640"/>
        <w:rPr>
          <w:rFonts w:ascii="黑体" w:eastAsia="黑体" w:hAnsi="黑体"/>
          <w:color w:val="000000" w:themeColor="text1"/>
          <w:sz w:val="32"/>
          <w:szCs w:val="32"/>
        </w:rPr>
      </w:pPr>
      <w:r w:rsidRPr="00432671">
        <w:rPr>
          <w:rFonts w:ascii="黑体" w:eastAsia="黑体" w:hAnsi="黑体" w:hint="eastAsia"/>
          <w:color w:val="000000" w:themeColor="text1"/>
          <w:sz w:val="32"/>
          <w:szCs w:val="32"/>
        </w:rPr>
        <w:t>二、重点任务</w:t>
      </w:r>
    </w:p>
    <w:p w:rsid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（一）开展污水管网排查及检测工作</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制定污水处理设施排查及检测方案，对建成区内污水管网等设施功能状况、错接混接等基本情况及用户接入情况进行排查，有条件的地区，要积极推进居民小区及公共建筑及企事业单位内部等非市政污水管网排查工作，要统筹安排、分步推</w:t>
      </w:r>
      <w:r w:rsidRPr="00FF328B">
        <w:rPr>
          <w:rFonts w:ascii="仿宋_GB2312" w:eastAsia="仿宋_GB2312" w:hint="eastAsia"/>
          <w:color w:val="000000" w:themeColor="text1"/>
          <w:sz w:val="32"/>
          <w:szCs w:val="32"/>
        </w:rPr>
        <w:lastRenderedPageBreak/>
        <w:t>进，排查工作要在2019年10月底前完成。地级城市要在全面排查基础上，建立和完善污水收集处理设施地理信息（GIS）系统，实现管网信息化、账册化管理。各地要建立市政排水管网定期排查检测制度，逐步建立以5—10年为一个排查周期的长效机制。各地要于2019年底将排查及检测系统建立情况</w:t>
      </w:r>
      <w:proofErr w:type="gramStart"/>
      <w:r w:rsidRPr="00FF328B">
        <w:rPr>
          <w:rFonts w:ascii="仿宋_GB2312" w:eastAsia="仿宋_GB2312" w:hint="eastAsia"/>
          <w:color w:val="000000" w:themeColor="text1"/>
          <w:sz w:val="32"/>
          <w:szCs w:val="32"/>
        </w:rPr>
        <w:t>上报省住建</w:t>
      </w:r>
      <w:proofErr w:type="gramEnd"/>
      <w:r w:rsidRPr="00FF328B">
        <w:rPr>
          <w:rFonts w:ascii="仿宋_GB2312" w:eastAsia="仿宋_GB2312" w:hint="eastAsia"/>
          <w:color w:val="000000" w:themeColor="text1"/>
          <w:sz w:val="32"/>
          <w:szCs w:val="32"/>
        </w:rPr>
        <w:t>厅、省生态环境厅。（</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厅牵头，省生态环境厅等部门参与，各城市人民政府负责落实。以下均需各城市人民政府落实，不再逐条列出）</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（二）推进污水管网建设与改造</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进一步加强污水管网建设与改造工作，对年久失修、淤积漏损严重的污水管道、排水口、检查井进行维修改造，确保收集的污水水质和水量的稳定。要有计划的对老城区雨污合流管网进行改造，暂不具备改造条件的地区，应采取建设调蓄设施、增大截流倍数等措施，控制雨污合流引起的溢流污染。要全面推进管网配套建设，加快污水收集支管及小街巷污水收集系统的建设，对错接混接严重、整改时间较长的市政管网和居民小区内部管网，有条件的应采取临时排水措施，减少错接混接对水环境的影响，并加快落实改造任务。（</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厅牵头，省发展改革委、省生态环境厅等部门参与）</w:t>
      </w:r>
    </w:p>
    <w:p w:rsid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（三）健全管网建设质量管控机制</w:t>
      </w:r>
    </w:p>
    <w:p w:rsidR="00432671" w:rsidRDefault="00095118" w:rsidP="00432671">
      <w:pPr>
        <w:snapToGrid w:val="0"/>
        <w:spacing w:line="60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各</w:t>
      </w:r>
      <w:r>
        <w:rPr>
          <w:rFonts w:ascii="仿宋_GB2312" w:eastAsia="仿宋_GB2312"/>
          <w:color w:val="000000" w:themeColor="text1"/>
          <w:sz w:val="32"/>
          <w:szCs w:val="32"/>
        </w:rPr>
        <w:t>地要</w:t>
      </w:r>
      <w:r w:rsidR="00E8760E" w:rsidRPr="00FF328B">
        <w:rPr>
          <w:rFonts w:ascii="仿宋_GB2312" w:eastAsia="仿宋_GB2312" w:hint="eastAsia"/>
          <w:color w:val="000000" w:themeColor="text1"/>
          <w:sz w:val="32"/>
          <w:szCs w:val="32"/>
        </w:rPr>
        <w:t>加强管材市场监管，严把工程质量关，禁止使用低劣</w:t>
      </w:r>
      <w:r w:rsidR="00E8760E" w:rsidRPr="00FF328B">
        <w:rPr>
          <w:rFonts w:ascii="仿宋_GB2312" w:eastAsia="仿宋_GB2312" w:hint="eastAsia"/>
          <w:color w:val="000000" w:themeColor="text1"/>
          <w:sz w:val="32"/>
          <w:szCs w:val="32"/>
        </w:rPr>
        <w:lastRenderedPageBreak/>
        <w:t>管材，工程设计、建设单位应严格执行工程建设相关标准规范，严格进行隐蔽工程检查、竣工验收和工程移交，确保工程施工质量。污水管网设施在交付使用前，必须经建设单位、设计单位、运行维护单位联合检查，未达到国家相关规范标准要求的，不得交付使用。严格排水管道养护、检测与修复质量管理。按照质量终身责任追究要求，强化设计、施工、监理等行业信用体系建设，推行建筑市场主体黑名单制度。（</w:t>
      </w:r>
      <w:proofErr w:type="gramStart"/>
      <w:r w:rsidR="00E8760E" w:rsidRPr="00FF328B">
        <w:rPr>
          <w:rFonts w:ascii="仿宋_GB2312" w:eastAsia="仿宋_GB2312" w:hint="eastAsia"/>
          <w:color w:val="000000" w:themeColor="text1"/>
          <w:sz w:val="32"/>
          <w:szCs w:val="32"/>
        </w:rPr>
        <w:t>省住建</w:t>
      </w:r>
      <w:proofErr w:type="gramEnd"/>
      <w:r w:rsidR="00E8760E" w:rsidRPr="00FF328B">
        <w:rPr>
          <w:rFonts w:ascii="仿宋_GB2312" w:eastAsia="仿宋_GB2312" w:hint="eastAsia"/>
          <w:color w:val="000000" w:themeColor="text1"/>
          <w:sz w:val="32"/>
          <w:szCs w:val="32"/>
        </w:rPr>
        <w:t>厅、省市场监管局按照职责分工负责）</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（四）健全管网运</w:t>
      </w:r>
      <w:proofErr w:type="gramStart"/>
      <w:r w:rsidRPr="00432671">
        <w:rPr>
          <w:rFonts w:ascii="楷体_GB2312" w:eastAsia="楷体_GB2312" w:hint="eastAsia"/>
          <w:color w:val="000000" w:themeColor="text1"/>
          <w:sz w:val="32"/>
          <w:szCs w:val="32"/>
        </w:rPr>
        <w:t>维管理</w:t>
      </w:r>
      <w:proofErr w:type="gramEnd"/>
      <w:r w:rsidRPr="00432671">
        <w:rPr>
          <w:rFonts w:ascii="楷体_GB2312" w:eastAsia="楷体_GB2312" w:hint="eastAsia"/>
          <w:color w:val="000000" w:themeColor="text1"/>
          <w:sz w:val="32"/>
          <w:szCs w:val="32"/>
        </w:rPr>
        <w:t>长效机制</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城市排水管网运营维护主体要严格按照相关标准定额实施运行维护，根据排水管网特点、规模、服务范围等因素合理确定人员和经费保障。全面推进以污水管网与污水处理厂联动“厂网一体”的方式运营维护管网，从运营机制上保障城市污水收集处理的系统性。鼓励有条件的居住小区委托市场专业化公司对单位内部管网进行维护和管理。排水行业主管部门要加强排水管网设施建设和运营过程中的安全监督管理，督促相关责任主体建立健全相应工作制度和保障机制。（</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厅牵头，省财政厅参与）</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（五）健全污水接入服务和管理制度</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各地要加强生活污水接入服务，市政污水管网覆盖范围内的居住小区和公共建筑生活污水应当依法依规接入市政污水管</w:t>
      </w:r>
      <w:r w:rsidRPr="00FF328B">
        <w:rPr>
          <w:rFonts w:ascii="仿宋_GB2312" w:eastAsia="仿宋_GB2312" w:hint="eastAsia"/>
          <w:color w:val="000000" w:themeColor="text1"/>
          <w:sz w:val="32"/>
          <w:szCs w:val="32"/>
        </w:rPr>
        <w:lastRenderedPageBreak/>
        <w:t>网，严禁雨污错接混接，严禁污水直排。新建居民小区或公共建筑排水未规范接入市政排水管网的，不得交付使用；市政污水管网未覆盖的，应当依法建设污水处理设施并达标排放。要建立健全“小散乱”规范管理制度，整治沿街经营性单位和个体经营户污水乱排直排，结合市场整顿和经营许可、卫生许可管理建立联合执法监督机制，督促整改。要建立健全市政管网私搭乱接溯源执法制度，各市、县市政排水（城管）、生态环境部门要会同相关部门强化溯源追查和执法，建立常态化工作机制。（</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厅、省生态环境厅牵头，省市场监管局、卫生健康委等部门参与）</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（六）加快污水处理厂建设与提标改造</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结合城市（县城）总体规划，科学制定生活污水处理设施规模与布局，生活污水收集和处理能力要与服务区人口、经济社会发展、水环境质量改善要求相匹配。现有城市（县城）生活污水处理设施不能满足生活污水处理需要的地区，要加快新建、扩建生活污水处理设施。存在污水处理设施低负荷运行的地区要加强建成区生活污水收集及污水处理配套管网建设。敏感地区以及渭河、泾河等重点流域县级及以上污水处理设施要积极推进设施提标改造，提升污水集中处理水平。城市污水处理厂进水生化需氧量（BOD）浓度长期低于100mg/L的，要围绕服务片区管网规划与建设制定“一厂</w:t>
      </w:r>
      <w:proofErr w:type="gramStart"/>
      <w:r w:rsidRPr="00FF328B">
        <w:rPr>
          <w:rFonts w:ascii="仿宋_GB2312" w:eastAsia="仿宋_GB2312" w:hint="eastAsia"/>
          <w:color w:val="000000" w:themeColor="text1"/>
          <w:sz w:val="32"/>
          <w:szCs w:val="32"/>
        </w:rPr>
        <w:t>一</w:t>
      </w:r>
      <w:proofErr w:type="gramEnd"/>
      <w:r w:rsidRPr="00FF328B">
        <w:rPr>
          <w:rFonts w:ascii="仿宋_GB2312" w:eastAsia="仿宋_GB2312" w:hint="eastAsia"/>
          <w:color w:val="000000" w:themeColor="text1"/>
          <w:sz w:val="32"/>
          <w:szCs w:val="32"/>
        </w:rPr>
        <w:t>策”系统化治理方案，明确治理目标和措施。（</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厅牵头，省发展改革委、省生态环境厅</w:t>
      </w:r>
      <w:r w:rsidRPr="00FF328B">
        <w:rPr>
          <w:rFonts w:ascii="仿宋_GB2312" w:eastAsia="仿宋_GB2312" w:hint="eastAsia"/>
          <w:color w:val="000000" w:themeColor="text1"/>
          <w:sz w:val="32"/>
          <w:szCs w:val="32"/>
        </w:rPr>
        <w:lastRenderedPageBreak/>
        <w:t>等部门参与）</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（七）强化污泥无害化处理处置设施建设</w:t>
      </w:r>
    </w:p>
    <w:p w:rsidR="00432671" w:rsidRPr="00432671" w:rsidRDefault="00E8760E" w:rsidP="00432671">
      <w:pPr>
        <w:snapToGrid w:val="0"/>
        <w:spacing w:line="600" w:lineRule="atLeast"/>
        <w:ind w:firstLineChars="200" w:firstLine="640"/>
        <w:rPr>
          <w:rFonts w:ascii="仿宋_GB2312" w:eastAsia="仿宋_GB2312"/>
          <w:color w:val="000000" w:themeColor="text1"/>
          <w:spacing w:val="-2"/>
          <w:sz w:val="32"/>
          <w:szCs w:val="32"/>
        </w:rPr>
      </w:pPr>
      <w:r w:rsidRPr="00FF328B">
        <w:rPr>
          <w:rFonts w:ascii="仿宋_GB2312" w:eastAsia="仿宋_GB2312" w:hint="eastAsia"/>
          <w:color w:val="000000" w:themeColor="text1"/>
          <w:sz w:val="32"/>
          <w:szCs w:val="32"/>
        </w:rPr>
        <w:t>各</w:t>
      </w:r>
      <w:r w:rsidRPr="00432671">
        <w:rPr>
          <w:rFonts w:ascii="仿宋_GB2312" w:eastAsia="仿宋_GB2312" w:hint="eastAsia"/>
          <w:color w:val="000000" w:themeColor="text1"/>
          <w:spacing w:val="-2"/>
          <w:sz w:val="32"/>
          <w:szCs w:val="32"/>
        </w:rPr>
        <w:t>地要按照城市污水处理厂污泥处理处置稳定化、无害化、资源化要求，加快地级城市污水处理厂污泥集中处理设施建设，进一步规范污泥无害化处置，对已建成投运但尚未配套污泥规范化处理处置设施的污水处理厂，各地应加大推进力度，尽快配套和完善污泥处理处置设施；对新建、改建、扩建的污水处理设施项目，要依据污泥处理处置规划，统筹配套建设污泥规范化处理处置设施。要加强污泥处置的全过程监管，实施严格的登记和管控制度，强化污泥运输环节的管理，禁止处理不达标的污泥进入耕地。到2021年，地级城市污泥无害化处理处置率达到90%以上。（</w:t>
      </w:r>
      <w:proofErr w:type="gramStart"/>
      <w:r w:rsidRPr="00432671">
        <w:rPr>
          <w:rFonts w:ascii="仿宋_GB2312" w:eastAsia="仿宋_GB2312" w:hint="eastAsia"/>
          <w:color w:val="000000" w:themeColor="text1"/>
          <w:spacing w:val="-2"/>
          <w:sz w:val="32"/>
          <w:szCs w:val="32"/>
        </w:rPr>
        <w:t>省住建</w:t>
      </w:r>
      <w:proofErr w:type="gramEnd"/>
      <w:r w:rsidRPr="00432671">
        <w:rPr>
          <w:rFonts w:ascii="仿宋_GB2312" w:eastAsia="仿宋_GB2312" w:hint="eastAsia"/>
          <w:color w:val="000000" w:themeColor="text1"/>
          <w:spacing w:val="-2"/>
          <w:sz w:val="32"/>
          <w:szCs w:val="32"/>
        </w:rPr>
        <w:t>厅牵头，省发展改革委、省生态环境厅等部门参与）</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（八）促进再生水利用</w:t>
      </w:r>
    </w:p>
    <w:p w:rsidR="00432671" w:rsidRPr="00BB07EE" w:rsidRDefault="00E8760E" w:rsidP="00432671">
      <w:pPr>
        <w:snapToGrid w:val="0"/>
        <w:spacing w:line="600" w:lineRule="atLeast"/>
        <w:ind w:firstLineChars="200" w:firstLine="640"/>
        <w:rPr>
          <w:rFonts w:ascii="仿宋_GB2312" w:eastAsia="仿宋_GB2312"/>
          <w:color w:val="000000" w:themeColor="text1"/>
          <w:spacing w:val="-2"/>
          <w:sz w:val="32"/>
          <w:szCs w:val="32"/>
        </w:rPr>
      </w:pPr>
      <w:r w:rsidRPr="00FF328B">
        <w:rPr>
          <w:rFonts w:ascii="仿宋_GB2312" w:eastAsia="仿宋_GB2312" w:hint="eastAsia"/>
          <w:color w:val="000000" w:themeColor="text1"/>
          <w:sz w:val="32"/>
          <w:szCs w:val="32"/>
        </w:rPr>
        <w:t>各</w:t>
      </w:r>
      <w:r w:rsidRPr="00BB07EE">
        <w:rPr>
          <w:rFonts w:ascii="仿宋_GB2312" w:eastAsia="仿宋_GB2312" w:hint="eastAsia"/>
          <w:color w:val="000000" w:themeColor="text1"/>
          <w:spacing w:val="-2"/>
          <w:sz w:val="32"/>
          <w:szCs w:val="32"/>
        </w:rPr>
        <w:t>地推进污水再生利用设施建设，按照集中利用为主、分散利用为辅的原则，推进再生水利用设施建设。按照“优水优用，就近利用”的原则，进一步拓宽再生水使用范围，在工业生产、城市绿化、道路清扫、车辆冲洗、建筑施工及生态景观等领域优先使用再生水。到2021年，地级缺水城市再生水利用率达到20%以上。（</w:t>
      </w:r>
      <w:proofErr w:type="gramStart"/>
      <w:r w:rsidRPr="00BB07EE">
        <w:rPr>
          <w:rFonts w:ascii="仿宋_GB2312" w:eastAsia="仿宋_GB2312" w:hint="eastAsia"/>
          <w:color w:val="000000" w:themeColor="text1"/>
          <w:spacing w:val="-2"/>
          <w:sz w:val="32"/>
          <w:szCs w:val="32"/>
        </w:rPr>
        <w:t>省住建</w:t>
      </w:r>
      <w:proofErr w:type="gramEnd"/>
      <w:r w:rsidRPr="00BB07EE">
        <w:rPr>
          <w:rFonts w:ascii="仿宋_GB2312" w:eastAsia="仿宋_GB2312" w:hint="eastAsia"/>
          <w:color w:val="000000" w:themeColor="text1"/>
          <w:spacing w:val="-2"/>
          <w:sz w:val="32"/>
          <w:szCs w:val="32"/>
        </w:rPr>
        <w:t>厅牵头，省发展改革委、省生态环境厅等部门参与）</w:t>
      </w:r>
    </w:p>
    <w:p w:rsid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（九）规范工业企业排水管理</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工业集聚区应当按规定建设污水集中处理设施，严禁未经</w:t>
      </w:r>
      <w:r w:rsidRPr="00FF328B">
        <w:rPr>
          <w:rFonts w:ascii="仿宋_GB2312" w:eastAsia="仿宋_GB2312" w:hint="eastAsia"/>
          <w:color w:val="000000" w:themeColor="text1"/>
          <w:sz w:val="32"/>
          <w:szCs w:val="32"/>
        </w:rPr>
        <w:lastRenderedPageBreak/>
        <w:t>处理的废水接入市政管网和生活污水处理厂。城市人民政府或工业园区管理机构要组织对进入市政污水收集设施的工业企业进行排查及评估，经评估认定污染物不能被城市生活污水处理</w:t>
      </w:r>
      <w:proofErr w:type="gramStart"/>
      <w:r w:rsidRPr="00FF328B">
        <w:rPr>
          <w:rFonts w:ascii="仿宋_GB2312" w:eastAsia="仿宋_GB2312" w:hint="eastAsia"/>
          <w:color w:val="000000" w:themeColor="text1"/>
          <w:sz w:val="32"/>
          <w:szCs w:val="32"/>
        </w:rPr>
        <w:t>厂有效</w:t>
      </w:r>
      <w:proofErr w:type="gramEnd"/>
      <w:r w:rsidRPr="00FF328B">
        <w:rPr>
          <w:rFonts w:ascii="仿宋_GB2312" w:eastAsia="仿宋_GB2312" w:hint="eastAsia"/>
          <w:color w:val="000000" w:themeColor="text1"/>
          <w:sz w:val="32"/>
          <w:szCs w:val="32"/>
        </w:rPr>
        <w:t>处理或可能影响城市生活污水处理厂出水水质达标的，要先退出再治理，确保达标排放；经评估可继续接入污水管网的，工业企业应当依法取得排污许可。工业企业排污许可内容、污水接入市政管网的位置、排水方式、主要排放污染物类型等信息应当向社会公示，接受公众、污水处理厂运行维护单位和相关部门监督。各地要加强对接入市政管网的工业和生产经营性企业的监管，健全高效执法机制，依法处罚超排、偷排工业排水户。（省生态环境厅牵头，省发展改革委、省工信厅、</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厅、省科技厅、省商务厅等部门参与）</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（十）</w:t>
      </w:r>
      <w:proofErr w:type="gramStart"/>
      <w:r w:rsidRPr="00432671">
        <w:rPr>
          <w:rFonts w:ascii="楷体_GB2312" w:eastAsia="楷体_GB2312" w:hint="eastAsia"/>
          <w:color w:val="000000" w:themeColor="text1"/>
          <w:sz w:val="32"/>
          <w:szCs w:val="32"/>
        </w:rPr>
        <w:t>完善河</w:t>
      </w:r>
      <w:proofErr w:type="gramEnd"/>
      <w:r w:rsidRPr="00432671">
        <w:rPr>
          <w:rFonts w:ascii="楷体_GB2312" w:eastAsia="楷体_GB2312" w:hint="eastAsia"/>
          <w:color w:val="000000" w:themeColor="text1"/>
          <w:sz w:val="32"/>
          <w:szCs w:val="32"/>
        </w:rPr>
        <w:t>湖水位与市政排</w:t>
      </w:r>
      <w:proofErr w:type="gramStart"/>
      <w:r w:rsidRPr="00432671">
        <w:rPr>
          <w:rFonts w:ascii="楷体_GB2312" w:eastAsia="楷体_GB2312" w:hint="eastAsia"/>
          <w:color w:val="000000" w:themeColor="text1"/>
          <w:sz w:val="32"/>
          <w:szCs w:val="32"/>
        </w:rPr>
        <w:t>口协调</w:t>
      </w:r>
      <w:proofErr w:type="gramEnd"/>
      <w:r w:rsidRPr="00432671">
        <w:rPr>
          <w:rFonts w:ascii="楷体_GB2312" w:eastAsia="楷体_GB2312" w:hint="eastAsia"/>
          <w:color w:val="000000" w:themeColor="text1"/>
          <w:sz w:val="32"/>
          <w:szCs w:val="32"/>
        </w:rPr>
        <w:t>制度</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合理控制河湖水体水位，协调和优化排水口的水位标高与地表水体水位关系，防止地表水体水倒灌进入污水收集系统。施工降水或基坑排水排入市政管网，应纳入污水排入排水管网许可管理，明确排水接口位置和去向，避免排入城市污水处理厂。（省水利厅、</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厅按职责分工负责）</w:t>
      </w:r>
    </w:p>
    <w:p w:rsidR="00432671" w:rsidRPr="00432671" w:rsidRDefault="00E8760E" w:rsidP="00432671">
      <w:pPr>
        <w:snapToGrid w:val="0"/>
        <w:spacing w:line="600" w:lineRule="atLeast"/>
        <w:ind w:firstLineChars="200" w:firstLine="640"/>
        <w:rPr>
          <w:rFonts w:ascii="黑体" w:eastAsia="黑体" w:hAnsi="黑体"/>
          <w:color w:val="000000" w:themeColor="text1"/>
          <w:sz w:val="32"/>
          <w:szCs w:val="32"/>
        </w:rPr>
      </w:pPr>
      <w:r w:rsidRPr="00432671">
        <w:rPr>
          <w:rFonts w:ascii="黑体" w:eastAsia="黑体" w:hAnsi="黑体" w:hint="eastAsia"/>
          <w:color w:val="000000" w:themeColor="text1"/>
          <w:sz w:val="32"/>
          <w:szCs w:val="32"/>
        </w:rPr>
        <w:t>三、保障措施</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（一）加强组织领导</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城市人民政府对污水处理提质增效工作负总责，要完善组</w:t>
      </w:r>
      <w:r w:rsidRPr="00FF328B">
        <w:rPr>
          <w:rFonts w:ascii="仿宋_GB2312" w:eastAsia="仿宋_GB2312" w:hint="eastAsia"/>
          <w:color w:val="000000" w:themeColor="text1"/>
          <w:sz w:val="32"/>
          <w:szCs w:val="32"/>
        </w:rPr>
        <w:lastRenderedPageBreak/>
        <w:t>织领导机制，充分发挥河长、湖长作用，切实强化责任落实。各城市人民政府要根据本方案目标要求，制定本地区污水处理提质增效三年(2019—2021 年)行动实施计划，细化目标任务，形成建设和改造等工作任务清单，明确责任单位和责任人，完善建设项目审批、监管体制机制，优化营商发展环境，落实各项保障措施和安全防范措施。各地实施计划，务必于2019年7月10前</w:t>
      </w:r>
      <w:proofErr w:type="gramStart"/>
      <w:r w:rsidRPr="00FF328B">
        <w:rPr>
          <w:rFonts w:ascii="仿宋_GB2312" w:eastAsia="仿宋_GB2312" w:hint="eastAsia"/>
          <w:color w:val="000000" w:themeColor="text1"/>
          <w:sz w:val="32"/>
          <w:szCs w:val="32"/>
        </w:rPr>
        <w:t>报省住建</w:t>
      </w:r>
      <w:proofErr w:type="gramEnd"/>
      <w:r w:rsidRPr="00FF328B">
        <w:rPr>
          <w:rFonts w:ascii="仿宋_GB2312" w:eastAsia="仿宋_GB2312" w:hint="eastAsia"/>
          <w:color w:val="000000" w:themeColor="text1"/>
          <w:sz w:val="32"/>
          <w:szCs w:val="32"/>
        </w:rPr>
        <w:t>厅、省生态环境厅、省发展改革委备案，自2020年起，各地要于每年1月底前</w:t>
      </w:r>
      <w:proofErr w:type="gramStart"/>
      <w:r w:rsidRPr="00FF328B">
        <w:rPr>
          <w:rFonts w:ascii="仿宋_GB2312" w:eastAsia="仿宋_GB2312" w:hint="eastAsia"/>
          <w:color w:val="000000" w:themeColor="text1"/>
          <w:sz w:val="32"/>
          <w:szCs w:val="32"/>
        </w:rPr>
        <w:t>向省住建</w:t>
      </w:r>
      <w:proofErr w:type="gramEnd"/>
      <w:r w:rsidRPr="00FF328B">
        <w:rPr>
          <w:rFonts w:ascii="仿宋_GB2312" w:eastAsia="仿宋_GB2312" w:hint="eastAsia"/>
          <w:color w:val="000000" w:themeColor="text1"/>
          <w:sz w:val="32"/>
          <w:szCs w:val="32"/>
        </w:rPr>
        <w:t>厅、省生态环境厅、省发展改革委报送上年度城市（县城）污水处理提质增效三年行动实施进展情况。（</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厅、生态环境厅、发展改革委负责指导和督促各地开展）</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（二）加大资金支持</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坚持投入与工作任务相匹配的原则，多渠道筹集资金，加大投入力度，建立健全资金保障机制，对本方案确定的重点任务给予重点支持。统筹使用污水处理费和财政补贴，确保设施运维费用，特别是排水管网运行维护和维修经费以及管网周期性检测费用。要继续积极推广政府和社会资本合作（PPP）模式，建立政府与市场合理分工的污水处理设施建设投融资体制，鼓励符合条件的各类社会资金参与城市污水处理设施及配套管网建设和运营，实现投资主体多元化，建设运营市场化。（省财政厅、省发展改革委、中国人民银行兰州中心支行、甘肃银保监</w:t>
      </w:r>
      <w:r w:rsidRPr="00FF328B">
        <w:rPr>
          <w:rFonts w:ascii="仿宋_GB2312" w:eastAsia="仿宋_GB2312" w:hint="eastAsia"/>
          <w:color w:val="000000" w:themeColor="text1"/>
          <w:sz w:val="32"/>
          <w:szCs w:val="32"/>
        </w:rPr>
        <w:lastRenderedPageBreak/>
        <w:t>会按职责分工负责）</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（三）完善收费机制</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建立污水处理收费动态调整机制，按照补偿污水处理和污泥处置设施运营成本并合理盈利的原则，制定污水处理费标准，征收的污水处理费无法满足处理设施正常运行时，地方政府要积极采取措施适当补贴，要加大自备水源污水处理费征缴力度，加强对污水处理费征收和使用的监管，保证专款专用，统筹使用污水处理费及财政补贴资金，通过政府购买服务方式向提供服务单位支付服务费，以维护污水处理设施的正常运行。（省发展改革委、省财政厅、</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厅、省水利厅按职责分工负责）</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（四）严格考核问责</w:t>
      </w:r>
    </w:p>
    <w:p w:rsidR="00432671"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落实领导干部生态文明建设责任制，严格实行党政同责、一岗双责，各城市要将城市（县城）污水提质增效工作情况纳入污染防治攻坚战成效考核，做好考核结果应用。（</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厅、省生态环境厅、省发展改革委负责指导和督促各地开展）</w:t>
      </w:r>
    </w:p>
    <w:p w:rsidR="00432671" w:rsidRPr="00432671" w:rsidRDefault="00E8760E" w:rsidP="00432671">
      <w:pPr>
        <w:snapToGrid w:val="0"/>
        <w:spacing w:line="600" w:lineRule="atLeast"/>
        <w:ind w:firstLineChars="200" w:firstLine="640"/>
        <w:rPr>
          <w:rFonts w:ascii="楷体_GB2312" w:eastAsia="楷体_GB2312"/>
          <w:color w:val="000000" w:themeColor="text1"/>
          <w:sz w:val="32"/>
          <w:szCs w:val="32"/>
        </w:rPr>
      </w:pPr>
      <w:r w:rsidRPr="00432671">
        <w:rPr>
          <w:rFonts w:ascii="楷体_GB2312" w:eastAsia="楷体_GB2312" w:hint="eastAsia"/>
          <w:color w:val="000000" w:themeColor="text1"/>
          <w:sz w:val="32"/>
          <w:szCs w:val="32"/>
        </w:rPr>
        <w:t>（五）鼓励公众参与</w:t>
      </w:r>
    </w:p>
    <w:p w:rsidR="00E8760E" w:rsidRPr="00FF328B" w:rsidRDefault="00E8760E" w:rsidP="00432671">
      <w:pPr>
        <w:snapToGrid w:val="0"/>
        <w:spacing w:line="600" w:lineRule="atLeast"/>
        <w:ind w:firstLineChars="200" w:firstLine="640"/>
        <w:rPr>
          <w:rFonts w:ascii="仿宋_GB2312" w:eastAsia="仿宋_GB2312"/>
          <w:color w:val="000000" w:themeColor="text1"/>
          <w:sz w:val="32"/>
          <w:szCs w:val="32"/>
        </w:rPr>
      </w:pPr>
      <w:r w:rsidRPr="00FF328B">
        <w:rPr>
          <w:rFonts w:ascii="仿宋_GB2312" w:eastAsia="仿宋_GB2312" w:hint="eastAsia"/>
          <w:color w:val="000000" w:themeColor="text1"/>
          <w:sz w:val="32"/>
          <w:szCs w:val="32"/>
        </w:rPr>
        <w:t>各地要做好城市（县城）污水提质增效信息发布、宣传报道、舆情引导等工作，积极宣传提质增效措施和成效，借助网站、新媒体、手机客户端等媒介，为公众参与创造条件。要采取群众喜闻乐见的宣传方式，引导公众自觉维护雨水、污水管网等设施，</w:t>
      </w:r>
      <w:r w:rsidRPr="00FF328B">
        <w:rPr>
          <w:rFonts w:ascii="仿宋_GB2312" w:eastAsia="仿宋_GB2312" w:hint="eastAsia"/>
          <w:color w:val="000000" w:themeColor="text1"/>
          <w:sz w:val="32"/>
          <w:szCs w:val="32"/>
        </w:rPr>
        <w:lastRenderedPageBreak/>
        <w:t>不向水体、雨水口排污，不私搭乱接管网。鼓励群众监督治理成效，发现问题，形成全民参与的治理氛围。（</w:t>
      </w:r>
      <w:proofErr w:type="gramStart"/>
      <w:r w:rsidRPr="00FF328B">
        <w:rPr>
          <w:rFonts w:ascii="仿宋_GB2312" w:eastAsia="仿宋_GB2312" w:hint="eastAsia"/>
          <w:color w:val="000000" w:themeColor="text1"/>
          <w:sz w:val="32"/>
          <w:szCs w:val="32"/>
        </w:rPr>
        <w:t>省住建</w:t>
      </w:r>
      <w:proofErr w:type="gramEnd"/>
      <w:r w:rsidRPr="00FF328B">
        <w:rPr>
          <w:rFonts w:ascii="仿宋_GB2312" w:eastAsia="仿宋_GB2312" w:hint="eastAsia"/>
          <w:color w:val="000000" w:themeColor="text1"/>
          <w:sz w:val="32"/>
          <w:szCs w:val="32"/>
        </w:rPr>
        <w:t>厅、省生态环境厅按职责分工负责）</w:t>
      </w:r>
    </w:p>
    <w:p w:rsidR="00E8760E" w:rsidRPr="00FF328B" w:rsidRDefault="00E8760E" w:rsidP="00FF328B">
      <w:pPr>
        <w:snapToGrid w:val="0"/>
        <w:spacing w:line="640" w:lineRule="atLeast"/>
        <w:rPr>
          <w:rFonts w:ascii="仿宋_GB2312" w:eastAsia="仿宋_GB2312"/>
          <w:color w:val="000000" w:themeColor="text1"/>
          <w:sz w:val="32"/>
          <w:szCs w:val="32"/>
        </w:rPr>
      </w:pPr>
    </w:p>
    <w:p w:rsidR="00432671" w:rsidRPr="00FF328B" w:rsidRDefault="00432671" w:rsidP="00432671">
      <w:pPr>
        <w:snapToGrid w:val="0"/>
        <w:spacing w:line="64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附件</w:t>
      </w:r>
      <w:r>
        <w:rPr>
          <w:rFonts w:ascii="仿宋_GB2312" w:eastAsia="仿宋_GB2312"/>
          <w:color w:val="000000" w:themeColor="text1"/>
          <w:sz w:val="32"/>
          <w:szCs w:val="32"/>
        </w:rPr>
        <w:t>：</w:t>
      </w:r>
      <w:r>
        <w:rPr>
          <w:rFonts w:ascii="仿宋_GB2312" w:eastAsia="仿宋_GB2312" w:hint="eastAsia"/>
          <w:color w:val="000000" w:themeColor="text1"/>
          <w:sz w:val="32"/>
          <w:szCs w:val="32"/>
        </w:rPr>
        <w:t>1.</w:t>
      </w:r>
      <w:r w:rsidRPr="00FF328B">
        <w:rPr>
          <w:rFonts w:ascii="仿宋_GB2312" w:eastAsia="仿宋_GB2312" w:hint="eastAsia"/>
          <w:color w:val="000000" w:themeColor="text1"/>
          <w:sz w:val="32"/>
          <w:szCs w:val="32"/>
        </w:rPr>
        <w:t>污水处理厂现状进水生化需氧量（BOD）浓度</w:t>
      </w:r>
    </w:p>
    <w:p w:rsidR="00432671" w:rsidRPr="00FF328B" w:rsidRDefault="00432671" w:rsidP="00432671">
      <w:pPr>
        <w:snapToGrid w:val="0"/>
        <w:spacing w:line="640" w:lineRule="atLeast"/>
        <w:ind w:firstLineChars="500" w:firstLine="1600"/>
        <w:rPr>
          <w:rFonts w:ascii="仿宋_GB2312" w:eastAsia="仿宋_GB2312"/>
          <w:color w:val="000000" w:themeColor="text1"/>
          <w:sz w:val="32"/>
          <w:szCs w:val="32"/>
        </w:rPr>
      </w:pPr>
      <w:r>
        <w:rPr>
          <w:rFonts w:ascii="仿宋_GB2312" w:eastAsia="仿宋_GB2312"/>
          <w:color w:val="000000" w:themeColor="text1"/>
          <w:sz w:val="32"/>
          <w:szCs w:val="32"/>
        </w:rPr>
        <w:t>2.</w:t>
      </w:r>
      <w:r w:rsidRPr="00FF328B">
        <w:rPr>
          <w:rFonts w:ascii="仿宋_GB2312" w:eastAsia="仿宋_GB2312" w:hint="eastAsia"/>
          <w:color w:val="000000" w:themeColor="text1"/>
          <w:sz w:val="32"/>
          <w:szCs w:val="32"/>
        </w:rPr>
        <w:t>各城市污水处理提质增效三年行动细化目标</w:t>
      </w:r>
    </w:p>
    <w:p w:rsidR="00E8760E" w:rsidRPr="00432671" w:rsidRDefault="00E8760E" w:rsidP="00FF328B">
      <w:pPr>
        <w:snapToGrid w:val="0"/>
        <w:spacing w:line="640" w:lineRule="atLeast"/>
        <w:rPr>
          <w:rFonts w:ascii="仿宋_GB2312" w:eastAsia="仿宋_GB2312"/>
          <w:color w:val="000000" w:themeColor="text1"/>
          <w:sz w:val="32"/>
          <w:szCs w:val="32"/>
        </w:rPr>
      </w:pPr>
    </w:p>
    <w:p w:rsidR="00E8760E" w:rsidRPr="00FF328B" w:rsidRDefault="00E8760E" w:rsidP="00FF328B">
      <w:pPr>
        <w:snapToGrid w:val="0"/>
        <w:spacing w:line="640" w:lineRule="atLeast"/>
        <w:rPr>
          <w:rFonts w:ascii="仿宋_GB2312" w:eastAsia="仿宋_GB2312"/>
          <w:color w:val="000000" w:themeColor="text1"/>
          <w:sz w:val="32"/>
          <w:szCs w:val="32"/>
        </w:rPr>
      </w:pPr>
    </w:p>
    <w:p w:rsidR="00E8760E" w:rsidRPr="00FF328B" w:rsidRDefault="00E8760E" w:rsidP="00FF328B">
      <w:pPr>
        <w:snapToGrid w:val="0"/>
        <w:spacing w:line="640" w:lineRule="atLeast"/>
        <w:rPr>
          <w:rFonts w:ascii="仿宋_GB2312" w:eastAsia="仿宋_GB2312"/>
          <w:color w:val="000000" w:themeColor="text1"/>
          <w:sz w:val="32"/>
          <w:szCs w:val="32"/>
        </w:rPr>
      </w:pPr>
    </w:p>
    <w:p w:rsidR="00E8760E" w:rsidRPr="00FF328B" w:rsidRDefault="00E8760E" w:rsidP="00FF328B">
      <w:pPr>
        <w:snapToGrid w:val="0"/>
        <w:spacing w:line="640" w:lineRule="atLeast"/>
        <w:rPr>
          <w:rFonts w:ascii="仿宋_GB2312" w:eastAsia="仿宋_GB2312"/>
          <w:color w:val="000000" w:themeColor="text1"/>
          <w:sz w:val="32"/>
          <w:szCs w:val="32"/>
        </w:rPr>
      </w:pPr>
    </w:p>
    <w:p w:rsidR="00E8760E" w:rsidRPr="00FF328B" w:rsidRDefault="00E8760E" w:rsidP="00FF328B">
      <w:pPr>
        <w:snapToGrid w:val="0"/>
        <w:spacing w:line="640" w:lineRule="atLeast"/>
        <w:rPr>
          <w:rFonts w:ascii="仿宋_GB2312" w:eastAsia="仿宋_GB2312"/>
          <w:color w:val="000000" w:themeColor="text1"/>
          <w:sz w:val="32"/>
          <w:szCs w:val="32"/>
        </w:rPr>
      </w:pPr>
    </w:p>
    <w:p w:rsidR="00E8760E" w:rsidRDefault="00E8760E"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Default="00432671" w:rsidP="00FF328B">
      <w:pPr>
        <w:snapToGrid w:val="0"/>
        <w:spacing w:line="640" w:lineRule="atLeast"/>
        <w:rPr>
          <w:rFonts w:ascii="仿宋_GB2312" w:eastAsia="仿宋_GB2312"/>
          <w:color w:val="000000" w:themeColor="text1"/>
          <w:sz w:val="32"/>
          <w:szCs w:val="32"/>
        </w:rPr>
      </w:pPr>
    </w:p>
    <w:p w:rsidR="00432671" w:rsidRPr="00432671" w:rsidRDefault="00432671" w:rsidP="00FF328B">
      <w:pPr>
        <w:snapToGrid w:val="0"/>
        <w:spacing w:line="640" w:lineRule="atLeast"/>
        <w:rPr>
          <w:rFonts w:ascii="仿宋_GB2312" w:eastAsia="仿宋_GB2312"/>
          <w:color w:val="000000" w:themeColor="text1"/>
          <w:sz w:val="32"/>
          <w:szCs w:val="32"/>
        </w:rPr>
      </w:pPr>
    </w:p>
    <w:p w:rsidR="00E8760E" w:rsidRPr="00432671" w:rsidRDefault="00E8760E" w:rsidP="00432671">
      <w:pPr>
        <w:snapToGrid w:val="0"/>
        <w:spacing w:line="240" w:lineRule="atLeast"/>
        <w:rPr>
          <w:rFonts w:ascii="黑体" w:eastAsia="黑体" w:hAnsi="黑体"/>
          <w:color w:val="000000" w:themeColor="text1"/>
          <w:sz w:val="32"/>
          <w:szCs w:val="32"/>
        </w:rPr>
      </w:pPr>
      <w:r w:rsidRPr="00432671">
        <w:rPr>
          <w:rFonts w:ascii="黑体" w:eastAsia="黑体" w:hAnsi="黑体" w:hint="eastAsia"/>
          <w:color w:val="000000" w:themeColor="text1"/>
          <w:sz w:val="32"/>
          <w:szCs w:val="32"/>
        </w:rPr>
        <w:lastRenderedPageBreak/>
        <w:t>附件</w:t>
      </w:r>
      <w:r w:rsidR="00F37D9F" w:rsidRPr="00432671">
        <w:rPr>
          <w:rFonts w:ascii="黑体" w:eastAsia="黑体" w:hAnsi="黑体" w:hint="eastAsia"/>
          <w:color w:val="000000" w:themeColor="text1"/>
          <w:sz w:val="32"/>
          <w:szCs w:val="32"/>
        </w:rPr>
        <w:t>1</w:t>
      </w:r>
    </w:p>
    <w:p w:rsidR="00E8760E" w:rsidRPr="00FF328B" w:rsidRDefault="00E8760E" w:rsidP="00432671">
      <w:pPr>
        <w:snapToGrid w:val="0"/>
        <w:spacing w:line="240" w:lineRule="atLeast"/>
        <w:rPr>
          <w:rFonts w:ascii="仿宋_GB2312" w:eastAsia="仿宋_GB2312"/>
          <w:color w:val="000000" w:themeColor="text1"/>
          <w:sz w:val="32"/>
          <w:szCs w:val="32"/>
        </w:rPr>
      </w:pPr>
    </w:p>
    <w:p w:rsidR="00E8760E" w:rsidRPr="00432671" w:rsidRDefault="00E8760E" w:rsidP="00432671">
      <w:pPr>
        <w:snapToGrid w:val="0"/>
        <w:spacing w:line="240" w:lineRule="atLeast"/>
        <w:jc w:val="center"/>
        <w:rPr>
          <w:rFonts w:ascii="方正小标宋简体" w:eastAsia="方正小标宋简体"/>
          <w:color w:val="000000" w:themeColor="text1"/>
          <w:w w:val="90"/>
          <w:sz w:val="44"/>
          <w:szCs w:val="44"/>
        </w:rPr>
      </w:pPr>
      <w:r w:rsidRPr="00432671">
        <w:rPr>
          <w:rFonts w:ascii="方正小标宋简体" w:eastAsia="方正小标宋简体" w:hint="eastAsia"/>
          <w:color w:val="000000" w:themeColor="text1"/>
          <w:w w:val="90"/>
          <w:sz w:val="44"/>
          <w:szCs w:val="44"/>
        </w:rPr>
        <w:t>污水处理厂现状进水生化需氧量（BOD）浓度</w:t>
      </w:r>
    </w:p>
    <w:tbl>
      <w:tblPr>
        <w:tblW w:w="9067" w:type="dxa"/>
        <w:jc w:val="center"/>
        <w:tblLayout w:type="fixed"/>
        <w:tblLook w:val="04A0" w:firstRow="1" w:lastRow="0" w:firstColumn="1" w:lastColumn="0" w:noHBand="0" w:noVBand="1"/>
      </w:tblPr>
      <w:tblGrid>
        <w:gridCol w:w="704"/>
        <w:gridCol w:w="1275"/>
        <w:gridCol w:w="4536"/>
        <w:gridCol w:w="2552"/>
      </w:tblGrid>
      <w:tr w:rsidR="00DA6922" w:rsidRPr="00585C1D" w:rsidTr="00585C1D">
        <w:trPr>
          <w:trHeight w:val="764"/>
          <w:tblHeader/>
          <w:jc w:val="center"/>
        </w:trPr>
        <w:tc>
          <w:tcPr>
            <w:tcW w:w="704" w:type="dxa"/>
            <w:tcBorders>
              <w:top w:val="single" w:sz="4" w:space="0" w:color="auto"/>
              <w:left w:val="single" w:sz="4" w:space="0" w:color="auto"/>
              <w:bottom w:val="nil"/>
              <w:right w:val="single" w:sz="4" w:space="0" w:color="auto"/>
            </w:tcBorders>
            <w:shd w:val="clear" w:color="auto" w:fill="auto"/>
            <w:vAlign w:val="center"/>
            <w:hideMark/>
          </w:tcPr>
          <w:p w:rsidR="00E8760E" w:rsidRPr="00585C1D" w:rsidRDefault="00E8760E" w:rsidP="00DA6922">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级别</w:t>
            </w:r>
          </w:p>
        </w:tc>
        <w:tc>
          <w:tcPr>
            <w:tcW w:w="1275" w:type="dxa"/>
            <w:tcBorders>
              <w:top w:val="single" w:sz="4" w:space="0" w:color="auto"/>
              <w:left w:val="nil"/>
              <w:bottom w:val="nil"/>
              <w:right w:val="single" w:sz="4" w:space="0" w:color="auto"/>
            </w:tcBorders>
            <w:shd w:val="clear" w:color="auto" w:fill="auto"/>
            <w:vAlign w:val="center"/>
            <w:hideMark/>
          </w:tcPr>
          <w:p w:rsidR="00E8760E" w:rsidRPr="00585C1D" w:rsidRDefault="00E8760E" w:rsidP="00DA6922">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地区</w:t>
            </w:r>
          </w:p>
        </w:tc>
        <w:tc>
          <w:tcPr>
            <w:tcW w:w="4536" w:type="dxa"/>
            <w:tcBorders>
              <w:top w:val="single" w:sz="4" w:space="0" w:color="auto"/>
              <w:left w:val="nil"/>
              <w:bottom w:val="nil"/>
              <w:right w:val="single" w:sz="4" w:space="0" w:color="auto"/>
            </w:tcBorders>
            <w:shd w:val="clear" w:color="auto" w:fill="auto"/>
            <w:vAlign w:val="center"/>
            <w:hideMark/>
          </w:tcPr>
          <w:p w:rsidR="00E8760E" w:rsidRPr="00585C1D" w:rsidRDefault="00E8760E" w:rsidP="00DA6922">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项目名称</w:t>
            </w:r>
          </w:p>
        </w:tc>
        <w:tc>
          <w:tcPr>
            <w:tcW w:w="2552" w:type="dxa"/>
            <w:tcBorders>
              <w:top w:val="single" w:sz="4" w:space="0" w:color="auto"/>
              <w:left w:val="nil"/>
              <w:bottom w:val="nil"/>
              <w:right w:val="single" w:sz="4" w:space="0" w:color="auto"/>
            </w:tcBorders>
            <w:shd w:val="clear" w:color="auto" w:fill="auto"/>
            <w:vAlign w:val="center"/>
            <w:hideMark/>
          </w:tcPr>
          <w:p w:rsidR="00E8760E" w:rsidRPr="00585C1D" w:rsidRDefault="00E8760E" w:rsidP="00DA6922">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现状BOD进水浓度</w:t>
            </w:r>
          </w:p>
          <w:p w:rsidR="00E8760E" w:rsidRPr="00585C1D" w:rsidRDefault="00E8760E" w:rsidP="00DA6922">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w:t>
            </w:r>
            <w:proofErr w:type="gramStart"/>
            <w:r w:rsidRPr="00585C1D">
              <w:rPr>
                <w:rFonts w:ascii="黑体" w:eastAsia="黑体" w:hAnsi="黑体" w:hint="eastAsia"/>
                <w:color w:val="000000" w:themeColor="text1"/>
                <w:sz w:val="24"/>
                <w:szCs w:val="24"/>
              </w:rPr>
              <w:t>毫克/</w:t>
            </w:r>
            <w:proofErr w:type="gramEnd"/>
            <w:r w:rsidRPr="00585C1D">
              <w:rPr>
                <w:rFonts w:ascii="黑体" w:eastAsia="黑体" w:hAnsi="黑体" w:hint="eastAsia"/>
                <w:color w:val="000000" w:themeColor="text1"/>
                <w:sz w:val="24"/>
                <w:szCs w:val="24"/>
              </w:rPr>
              <w:t>升）</w:t>
            </w:r>
          </w:p>
        </w:tc>
      </w:tr>
      <w:tr w:rsidR="00DA6922" w:rsidRPr="00DA6922" w:rsidTr="00585C1D">
        <w:trPr>
          <w:trHeight w:val="397"/>
          <w:jc w:val="center"/>
        </w:trPr>
        <w:tc>
          <w:tcPr>
            <w:tcW w:w="704" w:type="dxa"/>
            <w:vMerge w:val="restart"/>
            <w:tcBorders>
              <w:top w:val="single" w:sz="4" w:space="0" w:color="auto"/>
              <w:left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地级</w:t>
            </w:r>
          </w:p>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城市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兰州市雁</w:t>
            </w:r>
            <w:proofErr w:type="gramStart"/>
            <w:r w:rsidRPr="00DA6922">
              <w:rPr>
                <w:rFonts w:asciiTheme="minorEastAsia" w:hAnsiTheme="minorEastAsia" w:hint="eastAsia"/>
                <w:color w:val="000000" w:themeColor="text1"/>
                <w:sz w:val="24"/>
                <w:szCs w:val="24"/>
              </w:rPr>
              <w:t>儿湾污水处理厂改</w:t>
            </w:r>
            <w:proofErr w:type="gramEnd"/>
            <w:r w:rsidRPr="00DA6922">
              <w:rPr>
                <w:rFonts w:asciiTheme="minorEastAsia" w:hAnsiTheme="minorEastAsia" w:hint="eastAsia"/>
                <w:color w:val="000000" w:themeColor="text1"/>
                <w:sz w:val="24"/>
                <w:szCs w:val="24"/>
              </w:rPr>
              <w:t>扩建工程</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149.21</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兰州市西固污水处理厂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139.33</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七里河安宁污水处理厂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198</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兰州市盐场污水处理厂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232.43</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兰州市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海石湾污水处理厂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156.86</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嘉峪关市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嘉峪关市污水处理厂</w:t>
            </w:r>
          </w:p>
        </w:tc>
        <w:tc>
          <w:tcPr>
            <w:tcW w:w="2552"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114</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金昌市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金昌市污水处理工程升级改造及中水利用项目</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227</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白银市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白银市污水处理工程</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110</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白银市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平川区清源污水处理厂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118</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天水市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天水市污水处理厂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155</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天水市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麦积污水处理工程</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133.5</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武威市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武威市排水管理所污水处理厂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113.82</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张掖市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张掖市污水处理厂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105.2</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平凉市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平凉市给排水公司天雨污水处理厂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146</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酒泉市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肃州区第一污水处理厂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153</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酒泉市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酒泉市第二污水处理厂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142.35</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roofErr w:type="gramStart"/>
            <w:r w:rsidRPr="00DA6922">
              <w:rPr>
                <w:rFonts w:asciiTheme="minorEastAsia" w:hAnsiTheme="minorEastAsia" w:hint="eastAsia"/>
                <w:color w:val="000000" w:themeColor="text1"/>
                <w:sz w:val="24"/>
                <w:szCs w:val="24"/>
              </w:rPr>
              <w:t>庆阳市</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proofErr w:type="gramStart"/>
            <w:r w:rsidRPr="00DA6922">
              <w:rPr>
                <w:rFonts w:asciiTheme="minorEastAsia" w:hAnsiTheme="minorEastAsia" w:hint="eastAsia"/>
                <w:color w:val="000000" w:themeColor="text1"/>
                <w:sz w:val="24"/>
                <w:szCs w:val="24"/>
              </w:rPr>
              <w:t>庆阳市</w:t>
            </w:r>
            <w:proofErr w:type="gramEnd"/>
            <w:r w:rsidRPr="00DA6922">
              <w:rPr>
                <w:rFonts w:asciiTheme="minorEastAsia" w:hAnsiTheme="minorEastAsia" w:hint="eastAsia"/>
                <w:color w:val="000000" w:themeColor="text1"/>
                <w:sz w:val="24"/>
                <w:szCs w:val="24"/>
              </w:rPr>
              <w:t>西峰城区污水处理工程</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213</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定西市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定西水</w:t>
            </w:r>
            <w:proofErr w:type="gramStart"/>
            <w:r w:rsidRPr="00DA6922">
              <w:rPr>
                <w:rFonts w:asciiTheme="minorEastAsia" w:hAnsiTheme="minorEastAsia" w:hint="eastAsia"/>
                <w:color w:val="000000" w:themeColor="text1"/>
                <w:sz w:val="24"/>
                <w:szCs w:val="24"/>
              </w:rPr>
              <w:t>务</w:t>
            </w:r>
            <w:proofErr w:type="gramEnd"/>
            <w:r w:rsidRPr="00DA6922">
              <w:rPr>
                <w:rFonts w:asciiTheme="minorEastAsia" w:hAnsiTheme="minorEastAsia" w:hint="eastAsia"/>
                <w:color w:val="000000" w:themeColor="text1"/>
                <w:sz w:val="24"/>
                <w:szCs w:val="24"/>
              </w:rPr>
              <w:t>清源污水净化有限公司</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180</w:t>
            </w:r>
          </w:p>
        </w:tc>
      </w:tr>
      <w:tr w:rsidR="00DA6922" w:rsidRPr="00DA6922" w:rsidTr="00585C1D">
        <w:trPr>
          <w:trHeight w:val="397"/>
          <w:jc w:val="center"/>
        </w:trPr>
        <w:tc>
          <w:tcPr>
            <w:tcW w:w="704" w:type="dxa"/>
            <w:vMerge/>
            <w:tcBorders>
              <w:left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定西市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定西市新市区污水处理工程</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114</w:t>
            </w:r>
          </w:p>
        </w:tc>
      </w:tr>
      <w:tr w:rsidR="00DA6922" w:rsidRPr="00DA6922" w:rsidTr="00585C1D">
        <w:trPr>
          <w:trHeight w:val="397"/>
          <w:jc w:val="center"/>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陇南市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武都区污水处理厂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135</w:t>
            </w:r>
          </w:p>
        </w:tc>
      </w:tr>
      <w:tr w:rsidR="00DA6922" w:rsidRPr="00DA6922" w:rsidTr="00585C1D">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县级</w:t>
            </w:r>
          </w:p>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城市</w:t>
            </w:r>
          </w:p>
        </w:tc>
        <w:tc>
          <w:tcPr>
            <w:tcW w:w="1275"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临夏市</w:t>
            </w:r>
          </w:p>
        </w:tc>
        <w:tc>
          <w:tcPr>
            <w:tcW w:w="4536" w:type="dxa"/>
            <w:tcBorders>
              <w:top w:val="nil"/>
              <w:left w:val="nil"/>
              <w:bottom w:val="single" w:sz="4" w:space="0" w:color="auto"/>
              <w:right w:val="single" w:sz="4" w:space="0" w:color="auto"/>
            </w:tcBorders>
            <w:shd w:val="clear" w:color="auto" w:fill="auto"/>
            <w:noWrap/>
            <w:vAlign w:val="center"/>
            <w:hideMark/>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临夏市新建污水处理厂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110</w:t>
            </w:r>
          </w:p>
        </w:tc>
      </w:tr>
      <w:tr w:rsidR="00DA6922" w:rsidRPr="00DA6922" w:rsidTr="00585C1D">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roofErr w:type="gramStart"/>
            <w:r w:rsidRPr="00DA6922">
              <w:rPr>
                <w:rFonts w:asciiTheme="minorEastAsia" w:hAnsiTheme="minorEastAsia" w:hint="eastAsia"/>
                <w:color w:val="000000" w:themeColor="text1"/>
                <w:sz w:val="24"/>
                <w:szCs w:val="24"/>
              </w:rPr>
              <w:t>合作市</w:t>
            </w:r>
            <w:proofErr w:type="gramEnd"/>
          </w:p>
        </w:tc>
        <w:tc>
          <w:tcPr>
            <w:tcW w:w="4536" w:type="dxa"/>
            <w:tcBorders>
              <w:top w:val="nil"/>
              <w:left w:val="nil"/>
              <w:bottom w:val="single" w:sz="4" w:space="0" w:color="auto"/>
              <w:right w:val="single" w:sz="4" w:space="0" w:color="auto"/>
            </w:tcBorders>
            <w:shd w:val="clear" w:color="auto" w:fill="auto"/>
            <w:noWrap/>
            <w:vAlign w:val="center"/>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proofErr w:type="gramStart"/>
            <w:r w:rsidRPr="00DA6922">
              <w:rPr>
                <w:rFonts w:asciiTheme="minorEastAsia" w:hAnsiTheme="minorEastAsia" w:hint="eastAsia"/>
                <w:color w:val="000000" w:themeColor="text1"/>
                <w:sz w:val="24"/>
                <w:szCs w:val="24"/>
              </w:rPr>
              <w:t>合作市</w:t>
            </w:r>
            <w:proofErr w:type="gramEnd"/>
            <w:r w:rsidRPr="00DA6922">
              <w:rPr>
                <w:rFonts w:asciiTheme="minorEastAsia" w:hAnsiTheme="minorEastAsia" w:hint="eastAsia"/>
                <w:color w:val="000000" w:themeColor="text1"/>
                <w:sz w:val="24"/>
                <w:szCs w:val="24"/>
              </w:rPr>
              <w:t>城市污水处理</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46</w:t>
            </w:r>
          </w:p>
        </w:tc>
      </w:tr>
      <w:tr w:rsidR="00DA6922" w:rsidRPr="00DA6922" w:rsidTr="00585C1D">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玉门市</w:t>
            </w:r>
          </w:p>
        </w:tc>
        <w:tc>
          <w:tcPr>
            <w:tcW w:w="4536" w:type="dxa"/>
            <w:tcBorders>
              <w:top w:val="nil"/>
              <w:left w:val="nil"/>
              <w:bottom w:val="single" w:sz="4" w:space="0" w:color="auto"/>
              <w:right w:val="single" w:sz="4" w:space="0" w:color="auto"/>
            </w:tcBorders>
            <w:shd w:val="clear" w:color="auto" w:fill="auto"/>
            <w:noWrap/>
            <w:vAlign w:val="center"/>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玉门市污水处理厂</w:t>
            </w:r>
          </w:p>
        </w:tc>
        <w:tc>
          <w:tcPr>
            <w:tcW w:w="2552" w:type="dxa"/>
            <w:tcBorders>
              <w:top w:val="nil"/>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124</w:t>
            </w:r>
          </w:p>
        </w:tc>
      </w:tr>
      <w:tr w:rsidR="00DA6922" w:rsidRPr="00DA6922" w:rsidTr="00585C1D">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敦煌市</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敦煌市污水处理厂</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135.67</w:t>
            </w:r>
          </w:p>
        </w:tc>
      </w:tr>
      <w:tr w:rsidR="00DA6922" w:rsidRPr="00DA6922" w:rsidTr="00585C1D">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华亭市</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8760E" w:rsidRPr="00DA6922" w:rsidRDefault="00E8760E" w:rsidP="00585C1D">
            <w:pPr>
              <w:snapToGrid w:val="0"/>
              <w:spacing w:line="240" w:lineRule="atLeast"/>
              <w:jc w:val="left"/>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华亭县城区污水处理工程</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8760E" w:rsidRPr="00DA6922" w:rsidRDefault="00E8760E" w:rsidP="00DA6922">
            <w:pPr>
              <w:snapToGrid w:val="0"/>
              <w:spacing w:line="240" w:lineRule="atLeast"/>
              <w:jc w:val="center"/>
              <w:rPr>
                <w:rFonts w:asciiTheme="minorEastAsia" w:hAnsiTheme="minorEastAsia"/>
                <w:color w:val="000000" w:themeColor="text1"/>
                <w:sz w:val="24"/>
                <w:szCs w:val="24"/>
              </w:rPr>
            </w:pPr>
            <w:r w:rsidRPr="00DA6922">
              <w:rPr>
                <w:rFonts w:asciiTheme="minorEastAsia" w:hAnsiTheme="minorEastAsia" w:hint="eastAsia"/>
                <w:color w:val="000000" w:themeColor="text1"/>
                <w:sz w:val="24"/>
                <w:szCs w:val="24"/>
              </w:rPr>
              <w:t>144.31</w:t>
            </w:r>
          </w:p>
        </w:tc>
      </w:tr>
    </w:tbl>
    <w:p w:rsidR="00E8760E" w:rsidRPr="00FF328B" w:rsidRDefault="00E8760E" w:rsidP="00FF328B">
      <w:pPr>
        <w:snapToGrid w:val="0"/>
        <w:spacing w:line="640" w:lineRule="atLeast"/>
        <w:rPr>
          <w:rFonts w:ascii="仿宋_GB2312" w:eastAsia="仿宋_GB2312"/>
          <w:color w:val="000000" w:themeColor="text1"/>
          <w:sz w:val="32"/>
          <w:szCs w:val="32"/>
        </w:rPr>
        <w:sectPr w:rsidR="00E8760E" w:rsidRPr="00FF328B" w:rsidSect="00FF328B">
          <w:footerReference w:type="even" r:id="rId6"/>
          <w:footerReference w:type="default" r:id="rId7"/>
          <w:pgSz w:w="11906" w:h="16838" w:code="9"/>
          <w:pgMar w:top="1928" w:right="1531" w:bottom="1758" w:left="1588" w:header="851" w:footer="1503" w:gutter="0"/>
          <w:pgNumType w:fmt="numberInDash"/>
          <w:cols w:space="425"/>
          <w:docGrid w:type="lines" w:linePitch="312"/>
        </w:sectPr>
      </w:pPr>
    </w:p>
    <w:p w:rsidR="00E8760E" w:rsidRPr="00585C1D" w:rsidRDefault="00E8760E" w:rsidP="00FF328B">
      <w:pPr>
        <w:snapToGrid w:val="0"/>
        <w:spacing w:line="640" w:lineRule="atLeast"/>
        <w:rPr>
          <w:rFonts w:ascii="黑体" w:eastAsia="黑体" w:hAnsi="黑体"/>
          <w:color w:val="000000" w:themeColor="text1"/>
          <w:sz w:val="32"/>
          <w:szCs w:val="32"/>
        </w:rPr>
      </w:pPr>
      <w:r w:rsidRPr="00585C1D">
        <w:rPr>
          <w:rFonts w:ascii="黑体" w:eastAsia="黑体" w:hAnsi="黑体" w:hint="eastAsia"/>
          <w:color w:val="000000" w:themeColor="text1"/>
          <w:sz w:val="32"/>
          <w:szCs w:val="32"/>
        </w:rPr>
        <w:lastRenderedPageBreak/>
        <w:t>附件</w:t>
      </w:r>
      <w:r w:rsidR="00F37D9F" w:rsidRPr="00585C1D">
        <w:rPr>
          <w:rFonts w:ascii="黑体" w:eastAsia="黑体" w:hAnsi="黑体" w:hint="eastAsia"/>
          <w:color w:val="000000" w:themeColor="text1"/>
          <w:sz w:val="32"/>
          <w:szCs w:val="32"/>
        </w:rPr>
        <w:t>2</w:t>
      </w:r>
    </w:p>
    <w:p w:rsidR="00E8760E" w:rsidRPr="00585C1D" w:rsidRDefault="00E8760E" w:rsidP="00585C1D">
      <w:pPr>
        <w:snapToGrid w:val="0"/>
        <w:spacing w:line="640" w:lineRule="atLeast"/>
        <w:jc w:val="center"/>
        <w:rPr>
          <w:rFonts w:ascii="方正小标宋简体" w:eastAsia="方正小标宋简体"/>
          <w:color w:val="000000" w:themeColor="text1"/>
          <w:sz w:val="44"/>
          <w:szCs w:val="44"/>
        </w:rPr>
      </w:pPr>
      <w:r w:rsidRPr="00585C1D">
        <w:rPr>
          <w:rFonts w:ascii="方正小标宋简体" w:eastAsia="方正小标宋简体" w:hint="eastAsia"/>
          <w:color w:val="000000" w:themeColor="text1"/>
          <w:sz w:val="44"/>
          <w:szCs w:val="44"/>
        </w:rPr>
        <w:t>各城市污水处理提质增效三年行动细化目标</w:t>
      </w:r>
    </w:p>
    <w:tbl>
      <w:tblPr>
        <w:tblW w:w="5418" w:type="pct"/>
        <w:jc w:val="center"/>
        <w:tblLook w:val="04A0" w:firstRow="1" w:lastRow="0" w:firstColumn="1" w:lastColumn="0" w:noHBand="0" w:noVBand="1"/>
      </w:tblPr>
      <w:tblGrid>
        <w:gridCol w:w="704"/>
        <w:gridCol w:w="1137"/>
        <w:gridCol w:w="1559"/>
        <w:gridCol w:w="3478"/>
        <w:gridCol w:w="3184"/>
        <w:gridCol w:w="5100"/>
      </w:tblGrid>
      <w:tr w:rsidR="00585C1D" w:rsidRPr="00585C1D" w:rsidTr="00585C1D">
        <w:trPr>
          <w:trHeight w:val="539"/>
          <w:tblHeader/>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级别</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城市</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收集率（%）</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2019</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2020</w:t>
            </w:r>
          </w:p>
        </w:tc>
        <w:tc>
          <w:tcPr>
            <w:tcW w:w="1683"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黑体" w:eastAsia="黑体" w:hAnsi="黑体"/>
                <w:color w:val="000000" w:themeColor="text1"/>
                <w:sz w:val="24"/>
                <w:szCs w:val="24"/>
              </w:rPr>
            </w:pPr>
            <w:r w:rsidRPr="00585C1D">
              <w:rPr>
                <w:rFonts w:ascii="黑体" w:eastAsia="黑体" w:hAnsi="黑体" w:hint="eastAsia"/>
                <w:color w:val="000000" w:themeColor="text1"/>
                <w:sz w:val="24"/>
                <w:szCs w:val="24"/>
              </w:rPr>
              <w:t>2021</w:t>
            </w:r>
          </w:p>
        </w:tc>
      </w:tr>
      <w:tr w:rsidR="00585C1D" w:rsidRPr="00585C1D" w:rsidTr="00585C1D">
        <w:trPr>
          <w:trHeight w:val="1695"/>
          <w:jc w:val="center"/>
        </w:trPr>
        <w:tc>
          <w:tcPr>
            <w:tcW w:w="232" w:type="pct"/>
            <w:vMerge w:val="restart"/>
            <w:tcBorders>
              <w:top w:val="nil"/>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地级城市</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兰州市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89.59</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不低于上年现状水平，污水处理厂进水生化需氧量（BOD）浓度原则上不低于上年水平。</w:t>
            </w:r>
          </w:p>
        </w:tc>
      </w:tr>
      <w:tr w:rsidR="00585C1D" w:rsidRPr="00585C1D" w:rsidTr="00585C1D">
        <w:trPr>
          <w:trHeight w:val="1695"/>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嘉峪关市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59.26</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基本消除黑臭水体，生活污水集中收集率达到63%，污水处理厂进水生化需氧量（BOD）浓度原则上不低于上年水平。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70%，污水处理厂进水生化需氧量（BOD）浓度原则上不低于上年水平。</w:t>
            </w:r>
          </w:p>
        </w:tc>
      </w:tr>
      <w:tr w:rsidR="00585C1D" w:rsidRPr="00585C1D" w:rsidTr="00585C1D">
        <w:trPr>
          <w:trHeight w:val="1695"/>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金昌市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91.97</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不低于上年现状水平，污水处理厂进水生化需氧量（BOD）浓度原则上不低于上年水平。</w:t>
            </w:r>
          </w:p>
        </w:tc>
      </w:tr>
      <w:tr w:rsidR="00585C1D" w:rsidRPr="00585C1D" w:rsidTr="00585C1D">
        <w:trPr>
          <w:trHeight w:val="1695"/>
          <w:jc w:val="center"/>
        </w:trPr>
        <w:tc>
          <w:tcPr>
            <w:tcW w:w="232" w:type="pct"/>
            <w:vMerge/>
            <w:tcBorders>
              <w:left w:val="single" w:sz="4" w:space="0" w:color="auto"/>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白银市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52.49</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基本消除黑臭水体，生活污水集中收集率达到56%，污水处理厂进水生化需氧量（BOD）浓度原则上不低于上年水平。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基本消除黑臭水体，生活污水集中收集率达到60%，污水处理厂进水生化需氧量（BOD）浓度原则上不低于上年水平。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63%，污水处理厂进水生化需氧量（BOD）浓度原则上不低于上年水平。</w:t>
            </w:r>
          </w:p>
        </w:tc>
      </w:tr>
      <w:tr w:rsidR="00585C1D" w:rsidRPr="00585C1D" w:rsidTr="00585C1D">
        <w:trPr>
          <w:trHeight w:val="2019"/>
          <w:jc w:val="center"/>
        </w:trPr>
        <w:tc>
          <w:tcPr>
            <w:tcW w:w="232" w:type="pct"/>
            <w:vMerge w:val="restart"/>
            <w:tcBorders>
              <w:top w:val="nil"/>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lastRenderedPageBreak/>
              <w:t>地级城市</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天水市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59.09</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基本消除黑臭水体，生活污水集中收集率达到63%，污水处理厂进水生化需氧量（BOD）浓度原则上不低于上年水平。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70%，污水处理厂进水生化需氧量（BOD）浓度原则上不低于上年水平。</w:t>
            </w:r>
          </w:p>
        </w:tc>
      </w:tr>
      <w:tr w:rsidR="00585C1D" w:rsidRPr="00585C1D" w:rsidTr="00585C1D">
        <w:trPr>
          <w:trHeight w:val="1986"/>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武威市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63.32</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基本消除黑臭水体，生活污水集中收集率达到67%，污水处理厂进水生化需氧量（BOD）浓度原则上不低于上年水平。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基本消除黑臭水体，生活污水集中收集率达到70%，污水处理厂进水生化需氧量（BOD）浓度原则上不低于上年水平。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72%，污水处理厂进水生化需氧量（BOD）浓度原则上不低于上年水平。</w:t>
            </w:r>
          </w:p>
        </w:tc>
      </w:tr>
      <w:tr w:rsidR="00585C1D" w:rsidRPr="00585C1D" w:rsidTr="00585C1D">
        <w:trPr>
          <w:trHeight w:val="1829"/>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张掖市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81.91</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不低于上年现状水平，污水处理厂进水生化需氧量（BOD）浓度原则上不低于上年水平。</w:t>
            </w:r>
          </w:p>
        </w:tc>
      </w:tr>
      <w:tr w:rsidR="00585C1D" w:rsidRPr="00585C1D" w:rsidTr="00585C1D">
        <w:trPr>
          <w:trHeight w:val="1695"/>
          <w:jc w:val="center"/>
        </w:trPr>
        <w:tc>
          <w:tcPr>
            <w:tcW w:w="232" w:type="pct"/>
            <w:vMerge/>
            <w:tcBorders>
              <w:left w:val="single" w:sz="4" w:space="0" w:color="auto"/>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平凉市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66.53</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基本消除黑臭水体，生活污水集中收集率达到68%，污水处理厂进水生化需氧量（BOD）浓度原则上不低于上年水平。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基本消除黑臭水体，生活污水集中收集率达到70%，污水处理厂进水生化需氧量（BOD）浓度原则上不低于上年水平。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72%，污水处理厂进水生化需氧量（BOD）浓度原则上不低于上年水平。</w:t>
            </w:r>
          </w:p>
        </w:tc>
      </w:tr>
      <w:tr w:rsidR="00585C1D" w:rsidRPr="00585C1D" w:rsidTr="00585C1D">
        <w:trPr>
          <w:trHeight w:val="1877"/>
          <w:jc w:val="center"/>
        </w:trPr>
        <w:tc>
          <w:tcPr>
            <w:tcW w:w="232" w:type="pct"/>
            <w:vMerge w:val="restart"/>
            <w:tcBorders>
              <w:top w:val="nil"/>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lastRenderedPageBreak/>
              <w:t>地级城市</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酒泉市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82.06</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基本消除黑臭水体，生活污水集中收集率不低于上年现状水平，污水处理厂进水生化需氧量（BOD）浓度原则上不低于上年水平。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不低于上年现状水平，污水处理厂进水生化需氧量（BOD）浓度原则上不低于上年水平。</w:t>
            </w:r>
          </w:p>
        </w:tc>
      </w:tr>
      <w:tr w:rsidR="00585C1D" w:rsidRPr="00585C1D" w:rsidTr="00585C1D">
        <w:trPr>
          <w:trHeight w:val="1974"/>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roofErr w:type="gramStart"/>
            <w:r w:rsidRPr="00585C1D">
              <w:rPr>
                <w:rFonts w:asciiTheme="minorEastAsia" w:hAnsiTheme="minorEastAsia" w:hint="eastAsia"/>
                <w:color w:val="000000" w:themeColor="text1"/>
                <w:sz w:val="24"/>
                <w:szCs w:val="24"/>
              </w:rPr>
              <w:t>庆阳市</w:t>
            </w:r>
            <w:proofErr w:type="gramEnd"/>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59.08</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基本消除黑臭水体，生活污水集中收集率达到63%，污水处理厂进水生化需氧量（BOD）浓度原则上不低于上年水平。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70%，污水处理厂进水生化需氧量（BOD）浓度原则上不低于上年水平。</w:t>
            </w:r>
          </w:p>
        </w:tc>
      </w:tr>
      <w:tr w:rsidR="00585C1D" w:rsidRPr="00585C1D" w:rsidTr="00585C1D">
        <w:trPr>
          <w:trHeight w:val="1974"/>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定西市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54.14</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基本消除黑臭水体，生活污水集中收集率达到58%，污水处理厂进水生化需氧量（BOD）浓度原则上不低于上年水平。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基本消除黑臭水体，生活污水集中收集率达到62%，污水处理厂进水生化需氧量（BOD）浓度原则上不低于上年水平。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65%，污水处理厂进水生化需氧量（BOD）浓度原则上不低于上年水平。</w:t>
            </w:r>
          </w:p>
        </w:tc>
      </w:tr>
      <w:tr w:rsidR="00585C1D" w:rsidRPr="00585C1D" w:rsidTr="00585C1D">
        <w:trPr>
          <w:trHeight w:val="1695"/>
          <w:jc w:val="center"/>
        </w:trPr>
        <w:tc>
          <w:tcPr>
            <w:tcW w:w="232" w:type="pct"/>
            <w:vMerge/>
            <w:tcBorders>
              <w:left w:val="single" w:sz="4" w:space="0" w:color="auto"/>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陇南市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51.50</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基本消除黑臭水体，生活污水集中收集率达到54%，污水处理厂进水生化需氧量（BOD）浓度原则上不低于上年水平。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基本消除黑臭水体，生活污水集中收集率达到58%，污水处理厂进水生化需氧量（BOD）浓度原则上不低于上年水平。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建成区基本无生活污水直排口，基本消除城中村、老旧城区和城乡结合部生活污水收集处理设施空白区，基本消除黑臭水体，生活污水集中收集率达到61%，污水处理厂进水生化需氧量（BOD）浓度原则上不低于上年水平。</w:t>
            </w:r>
          </w:p>
        </w:tc>
      </w:tr>
      <w:tr w:rsidR="00585C1D" w:rsidRPr="00585C1D" w:rsidTr="00585C1D">
        <w:trPr>
          <w:trHeight w:val="1695"/>
          <w:jc w:val="center"/>
        </w:trPr>
        <w:tc>
          <w:tcPr>
            <w:tcW w:w="232" w:type="pct"/>
            <w:vMerge w:val="restart"/>
            <w:tcBorders>
              <w:top w:val="nil"/>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lastRenderedPageBreak/>
              <w:t>县级城市</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临夏市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59.56</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生活污水集中收集率达到64%，污水处理厂进水生化需氧量（BOD）浓度原则上不低于上年水平。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生活污水集中收集率达67%，污水处理厂进水生化需氧量（BOD）浓度原则上不低于上年水平。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生活污水集中收集率达到70%，污水处理厂进水生化需氧量（BOD）浓度原则上不低于上年水平。</w:t>
            </w:r>
          </w:p>
        </w:tc>
      </w:tr>
      <w:tr w:rsidR="00585C1D" w:rsidRPr="00585C1D" w:rsidTr="00585C1D">
        <w:trPr>
          <w:trHeight w:val="1530"/>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roofErr w:type="gramStart"/>
            <w:r w:rsidRPr="00585C1D">
              <w:rPr>
                <w:rFonts w:asciiTheme="minorEastAsia" w:hAnsiTheme="minorEastAsia" w:hint="eastAsia"/>
                <w:color w:val="000000" w:themeColor="text1"/>
                <w:sz w:val="24"/>
                <w:szCs w:val="24"/>
              </w:rPr>
              <w:t>合作市</w:t>
            </w:r>
            <w:proofErr w:type="gramEnd"/>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51.06</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生活污水集中收集率达到53%，污水处理厂进水生化需氧量（BOD）浓度原则上不低于上年水平。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生活污水集中收集率达到57%，污水处理厂进水生化需氧量（BOD）浓度原则上不低于上年水平。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生活污水集中收集率达到61%，污水处理厂进水生化需氧量（BOD）浓度原则上不低于上年水平。</w:t>
            </w:r>
          </w:p>
        </w:tc>
      </w:tr>
      <w:tr w:rsidR="00585C1D" w:rsidRPr="00585C1D" w:rsidTr="00585C1D">
        <w:trPr>
          <w:trHeight w:val="1530"/>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玉门市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66.03</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生活污水集中收集率达到67%，污水处理厂进水生化需氧量（BOD）浓度原则上不低于上年水平。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生活污水集中收集率达到68%，污水处理厂进水生化需氧量（BOD）浓度原则上不低于上年水平。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生活污水集中收集率达到70%，污水处理厂进水生化需氧量（BOD）浓度原则上不低于上年水平。</w:t>
            </w:r>
          </w:p>
        </w:tc>
      </w:tr>
      <w:tr w:rsidR="00585C1D" w:rsidRPr="00585C1D" w:rsidTr="00585C1D">
        <w:trPr>
          <w:trHeight w:val="1530"/>
          <w:jc w:val="center"/>
        </w:trPr>
        <w:tc>
          <w:tcPr>
            <w:tcW w:w="232" w:type="pct"/>
            <w:vMerge/>
            <w:tcBorders>
              <w:left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敦煌市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57.09</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生活污水集中收集率达到60%，污水处理厂进水生化需氧量（BOD）浓度原则上不低于上年水平。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生活污水集中收集率达到64%，污水处理厂进水生化需氧量（BOD）浓度原则上不低于上年水平。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生活污水集中收集率达到67%，污水处理厂进水生化需氧量（BOD）浓度原则上不低于上年水平。</w:t>
            </w:r>
          </w:p>
        </w:tc>
      </w:tr>
      <w:tr w:rsidR="00585C1D" w:rsidRPr="00585C1D" w:rsidTr="00585C1D">
        <w:trPr>
          <w:trHeight w:val="1499"/>
          <w:jc w:val="center"/>
        </w:trPr>
        <w:tc>
          <w:tcPr>
            <w:tcW w:w="232" w:type="pct"/>
            <w:vMerge/>
            <w:tcBorders>
              <w:left w:val="single" w:sz="4" w:space="0" w:color="auto"/>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华亭市</w:t>
            </w:r>
          </w:p>
        </w:tc>
        <w:tc>
          <w:tcPr>
            <w:tcW w:w="514"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jc w:val="center"/>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61.16</w:t>
            </w:r>
          </w:p>
        </w:tc>
        <w:tc>
          <w:tcPr>
            <w:tcW w:w="1147"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生活污水集中收集率达到64%，污水处理厂进水生化需氧量（BOD）浓度原则上不低于上年水平。</w:t>
            </w:r>
          </w:p>
        </w:tc>
        <w:tc>
          <w:tcPr>
            <w:tcW w:w="1050"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生活污水集中收集率达到67%，污水处理厂进水生化需氧量（BOD）浓度原则上不低于上年水平。</w:t>
            </w:r>
          </w:p>
        </w:tc>
        <w:tc>
          <w:tcPr>
            <w:tcW w:w="1683" w:type="pct"/>
            <w:tcBorders>
              <w:top w:val="nil"/>
              <w:left w:val="nil"/>
              <w:bottom w:val="single" w:sz="4" w:space="0" w:color="auto"/>
              <w:right w:val="single" w:sz="4" w:space="0" w:color="auto"/>
            </w:tcBorders>
            <w:shd w:val="clear" w:color="auto" w:fill="auto"/>
            <w:vAlign w:val="center"/>
            <w:hideMark/>
          </w:tcPr>
          <w:p w:rsidR="00E8760E" w:rsidRPr="00585C1D" w:rsidRDefault="00E8760E" w:rsidP="00585C1D">
            <w:pPr>
              <w:snapToGrid w:val="0"/>
              <w:spacing w:line="240" w:lineRule="atLeast"/>
              <w:rPr>
                <w:rFonts w:asciiTheme="minorEastAsia" w:hAnsiTheme="minorEastAsia"/>
                <w:color w:val="000000" w:themeColor="text1"/>
                <w:sz w:val="24"/>
                <w:szCs w:val="24"/>
              </w:rPr>
            </w:pPr>
            <w:r w:rsidRPr="00585C1D">
              <w:rPr>
                <w:rFonts w:asciiTheme="minorEastAsia" w:hAnsiTheme="minorEastAsia" w:hint="eastAsia"/>
                <w:color w:val="000000" w:themeColor="text1"/>
                <w:sz w:val="24"/>
                <w:szCs w:val="24"/>
              </w:rPr>
              <w:t>生活污水集中收集率达到70%，污水处理厂进水生化需氧量（BOD）浓度原则上不低于上年水平。</w:t>
            </w:r>
          </w:p>
        </w:tc>
      </w:tr>
    </w:tbl>
    <w:p w:rsidR="00585C1D" w:rsidRDefault="00585C1D" w:rsidP="00FF328B">
      <w:pPr>
        <w:snapToGrid w:val="0"/>
        <w:spacing w:line="640" w:lineRule="atLeast"/>
        <w:rPr>
          <w:rFonts w:ascii="仿宋_GB2312" w:eastAsia="仿宋_GB2312"/>
          <w:color w:val="000000" w:themeColor="text1"/>
          <w:sz w:val="32"/>
          <w:szCs w:val="32"/>
        </w:rPr>
        <w:sectPr w:rsidR="00585C1D" w:rsidSect="00585C1D">
          <w:footerReference w:type="even" r:id="rId8"/>
          <w:footerReference w:type="default" r:id="rId9"/>
          <w:pgSz w:w="16838" w:h="11906" w:orient="landscape" w:code="9"/>
          <w:pgMar w:top="1588" w:right="1418" w:bottom="1531" w:left="1418" w:header="851" w:footer="1134" w:gutter="0"/>
          <w:pgNumType w:fmt="numberInDash"/>
          <w:cols w:space="425"/>
          <w:docGrid w:type="lines" w:linePitch="312"/>
        </w:sectPr>
      </w:pPr>
    </w:p>
    <w:p w:rsidR="00E8760E" w:rsidRPr="00FF328B" w:rsidRDefault="00E8760E" w:rsidP="00FF328B">
      <w:pPr>
        <w:snapToGrid w:val="0"/>
        <w:spacing w:line="640" w:lineRule="atLeast"/>
        <w:rPr>
          <w:rFonts w:ascii="仿宋_GB2312" w:eastAsia="仿宋_GB2312"/>
          <w:color w:val="000000" w:themeColor="text1"/>
          <w:sz w:val="32"/>
          <w:szCs w:val="32"/>
        </w:rPr>
      </w:pPr>
    </w:p>
    <w:p w:rsidR="00F77EE8" w:rsidRDefault="00F77EE8"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Pr="00A94772" w:rsidRDefault="00585C1D" w:rsidP="00FF328B">
      <w:pPr>
        <w:snapToGrid w:val="0"/>
        <w:spacing w:line="640" w:lineRule="atLeast"/>
        <w:rPr>
          <w:rFonts w:ascii="仿宋_GB2312" w:eastAsia="仿宋_GB2312"/>
          <w:color w:val="000000" w:themeColor="text1"/>
          <w:sz w:val="32"/>
          <w:szCs w:val="32"/>
        </w:rPr>
      </w:pPr>
    </w:p>
    <w:p w:rsidR="00585C1D" w:rsidRDefault="00585C1D" w:rsidP="00FF328B">
      <w:pPr>
        <w:snapToGrid w:val="0"/>
        <w:spacing w:line="640" w:lineRule="atLeast"/>
        <w:rPr>
          <w:rFonts w:ascii="仿宋_GB2312" w:eastAsia="仿宋_GB2312"/>
          <w:color w:val="000000" w:themeColor="text1"/>
          <w:sz w:val="32"/>
          <w:szCs w:val="32"/>
        </w:rPr>
      </w:pPr>
    </w:p>
    <w:p w:rsidR="00585C1D" w:rsidRDefault="00585C1D" w:rsidP="00585C1D">
      <w:pPr>
        <w:snapToGrid w:val="0"/>
        <w:spacing w:line="800" w:lineRule="atLeast"/>
        <w:rPr>
          <w:rFonts w:ascii="仿宋_GB2312" w:eastAsia="仿宋_GB2312"/>
          <w:color w:val="000000" w:themeColor="text1"/>
          <w:sz w:val="32"/>
          <w:szCs w:val="32"/>
        </w:rPr>
      </w:pPr>
    </w:p>
    <w:p w:rsidR="00585C1D" w:rsidRDefault="00585C1D" w:rsidP="00585C1D">
      <w:pPr>
        <w:adjustRightInd w:val="0"/>
        <w:snapToGrid w:val="0"/>
        <w:spacing w:line="540" w:lineRule="atLeast"/>
        <w:rPr>
          <w:rFonts w:ascii="仿宋_GB2312" w:eastAsia="仿宋_GB2312"/>
          <w:sz w:val="32"/>
          <w:szCs w:val="32"/>
        </w:rPr>
      </w:pPr>
    </w:p>
    <w:p w:rsidR="00585C1D" w:rsidRDefault="00585C1D" w:rsidP="00585C1D">
      <w:pPr>
        <w:adjustRightInd w:val="0"/>
        <w:snapToGrid w:val="0"/>
        <w:spacing w:line="480" w:lineRule="atLeast"/>
        <w:ind w:firstLineChars="100" w:firstLine="28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5715000" cy="0"/>
                <wp:effectExtent l="9525" t="7620" r="952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19F9"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" strokeweight="1pt"/>
            </w:pict>
          </mc:Fallback>
        </mc:AlternateContent>
      </w:r>
      <w:r w:rsidRPr="00C647F1">
        <w:rPr>
          <w:rFonts w:ascii="仿宋_GB2312" w:eastAsia="仿宋_GB2312" w:hint="eastAsia"/>
          <w:sz w:val="28"/>
          <w:szCs w:val="28"/>
        </w:rPr>
        <w:t>抄送：</w:t>
      </w:r>
      <w:r>
        <w:rPr>
          <w:rFonts w:ascii="仿宋_GB2312" w:eastAsia="仿宋_GB2312" w:hint="eastAsia"/>
          <w:sz w:val="28"/>
          <w:szCs w:val="28"/>
        </w:rPr>
        <w:t>住房城乡</w:t>
      </w:r>
      <w:r>
        <w:rPr>
          <w:rFonts w:ascii="仿宋_GB2312" w:eastAsia="仿宋_GB2312"/>
          <w:sz w:val="28"/>
          <w:szCs w:val="28"/>
        </w:rPr>
        <w:t>建设部、生态环境</w:t>
      </w:r>
      <w:r w:rsidR="00A94772">
        <w:rPr>
          <w:rFonts w:ascii="仿宋_GB2312" w:eastAsia="仿宋_GB2312" w:hint="eastAsia"/>
          <w:sz w:val="28"/>
          <w:szCs w:val="28"/>
        </w:rPr>
        <w:t>部</w:t>
      </w:r>
      <w:r>
        <w:rPr>
          <w:rFonts w:ascii="仿宋_GB2312" w:eastAsia="仿宋_GB2312"/>
          <w:sz w:val="28"/>
          <w:szCs w:val="28"/>
        </w:rPr>
        <w:t>、国家发展改革委</w:t>
      </w:r>
      <w:r w:rsidR="000E7579">
        <w:rPr>
          <w:rFonts w:ascii="仿宋_GB2312" w:eastAsia="仿宋_GB2312" w:hint="eastAsia"/>
          <w:sz w:val="28"/>
          <w:szCs w:val="28"/>
        </w:rPr>
        <w:t>，</w:t>
      </w:r>
      <w:r w:rsidR="000E7579">
        <w:rPr>
          <w:rFonts w:ascii="仿宋_GB2312" w:eastAsia="仿宋_GB2312"/>
          <w:sz w:val="28"/>
          <w:szCs w:val="28"/>
        </w:rPr>
        <w:t>各市州住房和城乡建设局、生态环境局、发展改革委。</w:t>
      </w:r>
    </w:p>
    <w:p w:rsidR="00585C1D" w:rsidRPr="00585C1D" w:rsidRDefault="00585C1D" w:rsidP="00585C1D">
      <w:pPr>
        <w:adjustRightInd w:val="0"/>
        <w:snapToGrid w:val="0"/>
        <w:spacing w:line="580" w:lineRule="atLeast"/>
        <w:rPr>
          <w:rFonts w:ascii="仿宋_GB2312" w:eastAsia="仿宋_GB2312"/>
        </w:rPr>
      </w:pPr>
      <w:r>
        <w:rPr>
          <w:rFonts w:ascii="仿宋_GB2312" w:eastAsia="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5715000" cy="0"/>
                <wp:effectExtent l="9525" t="8890" r="952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A814"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V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q6zUZr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"/>
            </w:pict>
          </mc:Fallback>
        </mc:AlternateContent>
      </w:r>
      <w:r>
        <w:rPr>
          <w:rFonts w:ascii="仿宋_GB2312" w:eastAsia="仿宋_GB2312"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434340</wp:posOffset>
                </wp:positionV>
                <wp:extent cx="5715000" cy="0"/>
                <wp:effectExtent l="9525" t="15240"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7C33"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5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" strokeweight="1pt"/>
            </w:pict>
          </mc:Fallback>
        </mc:AlternateContent>
      </w:r>
      <w:r>
        <w:rPr>
          <w:rFonts w:ascii="仿宋_GB2312" w:eastAsia="仿宋_GB2312" w:hint="eastAsia"/>
          <w:sz w:val="28"/>
          <w:szCs w:val="28"/>
        </w:rPr>
        <w:t xml:space="preserve">  甘肃省住房和城乡建设厅办公室              201</w:t>
      </w:r>
      <w:r>
        <w:rPr>
          <w:rFonts w:ascii="仿宋_GB2312" w:eastAsia="仿宋_GB2312"/>
          <w:sz w:val="28"/>
          <w:szCs w:val="28"/>
        </w:rPr>
        <w:t>9</w:t>
      </w:r>
      <w:r>
        <w:rPr>
          <w:rFonts w:ascii="仿宋_GB2312" w:eastAsia="仿宋_GB2312" w:hint="eastAsia"/>
          <w:sz w:val="28"/>
          <w:szCs w:val="28"/>
        </w:rPr>
        <w:t>年</w:t>
      </w:r>
      <w:r>
        <w:rPr>
          <w:rFonts w:ascii="仿宋_GB2312" w:eastAsia="仿宋_GB2312"/>
          <w:sz w:val="28"/>
          <w:szCs w:val="28"/>
        </w:rPr>
        <w:t>6</w:t>
      </w:r>
      <w:r>
        <w:rPr>
          <w:rFonts w:ascii="仿宋_GB2312" w:eastAsia="仿宋_GB2312" w:hint="eastAsia"/>
          <w:sz w:val="28"/>
          <w:szCs w:val="28"/>
        </w:rPr>
        <w:t>月</w:t>
      </w:r>
      <w:r>
        <w:rPr>
          <w:rFonts w:ascii="仿宋_GB2312" w:eastAsia="仿宋_GB2312"/>
          <w:sz w:val="28"/>
          <w:szCs w:val="28"/>
        </w:rPr>
        <w:t>6</w:t>
      </w:r>
      <w:r>
        <w:rPr>
          <w:rFonts w:ascii="仿宋_GB2312" w:eastAsia="仿宋_GB2312" w:hint="eastAsia"/>
          <w:sz w:val="28"/>
          <w:szCs w:val="28"/>
        </w:rPr>
        <w:t>日印发</w:t>
      </w:r>
    </w:p>
    <w:sectPr w:rsidR="00585C1D" w:rsidRPr="00585C1D" w:rsidSect="00585C1D">
      <w:footerReference w:type="even" r:id="rId10"/>
      <w:pgSz w:w="11906" w:h="16838" w:code="9"/>
      <w:pgMar w:top="1928" w:right="1531" w:bottom="1758" w:left="1588" w:header="851" w:footer="1503"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6E" w:rsidRDefault="00F5486E">
      <w:r>
        <w:separator/>
      </w:r>
    </w:p>
  </w:endnote>
  <w:endnote w:type="continuationSeparator" w:id="0">
    <w:p w:rsidR="00F5486E" w:rsidRDefault="00F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84349782"/>
      <w:docPartObj>
        <w:docPartGallery w:val="Page Numbers (Bottom of Page)"/>
        <w:docPartUnique/>
      </w:docPartObj>
    </w:sdtPr>
    <w:sdtEndPr/>
    <w:sdtContent>
      <w:p w:rsidR="002B45CB" w:rsidRPr="002B45CB" w:rsidRDefault="009E6F47">
        <w:pPr>
          <w:pStyle w:val="a3"/>
          <w:rPr>
            <w:rFonts w:asciiTheme="minorEastAsia" w:hAnsiTheme="minorEastAsia"/>
            <w:sz w:val="28"/>
            <w:szCs w:val="28"/>
          </w:rPr>
        </w:pPr>
        <w:r w:rsidRPr="002B45CB">
          <w:rPr>
            <w:rFonts w:asciiTheme="minorEastAsia" w:hAnsiTheme="minorEastAsia"/>
            <w:sz w:val="28"/>
            <w:szCs w:val="28"/>
          </w:rPr>
          <w:fldChar w:fldCharType="begin"/>
        </w:r>
        <w:r w:rsidRPr="002B45CB">
          <w:rPr>
            <w:rFonts w:asciiTheme="minorEastAsia" w:hAnsiTheme="minorEastAsia"/>
            <w:sz w:val="28"/>
            <w:szCs w:val="28"/>
          </w:rPr>
          <w:instrText>PAGE   \* MERGEFORMAT</w:instrText>
        </w:r>
        <w:r w:rsidRPr="002B45CB">
          <w:rPr>
            <w:rFonts w:asciiTheme="minorEastAsia" w:hAnsiTheme="minorEastAsia"/>
            <w:sz w:val="28"/>
            <w:szCs w:val="28"/>
          </w:rPr>
          <w:fldChar w:fldCharType="separate"/>
        </w:r>
        <w:r w:rsidR="005C17EA" w:rsidRPr="005C17EA">
          <w:rPr>
            <w:rFonts w:asciiTheme="minorEastAsia" w:hAnsiTheme="minorEastAsia"/>
            <w:noProof/>
            <w:sz w:val="28"/>
            <w:szCs w:val="28"/>
            <w:lang w:val="zh-CN"/>
          </w:rPr>
          <w:t>-</w:t>
        </w:r>
        <w:r w:rsidR="005C17EA">
          <w:rPr>
            <w:rFonts w:asciiTheme="minorEastAsia" w:hAnsiTheme="minorEastAsia"/>
            <w:noProof/>
            <w:sz w:val="28"/>
            <w:szCs w:val="28"/>
          </w:rPr>
          <w:t xml:space="preserve"> 10 -</w:t>
        </w:r>
        <w:r w:rsidRPr="002B45CB">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41401"/>
      <w:docPartObj>
        <w:docPartGallery w:val="Page Numbers (Bottom of Page)"/>
        <w:docPartUnique/>
      </w:docPartObj>
    </w:sdtPr>
    <w:sdtEndPr>
      <w:rPr>
        <w:rFonts w:asciiTheme="minorEastAsia" w:hAnsiTheme="minorEastAsia"/>
        <w:sz w:val="28"/>
        <w:szCs w:val="28"/>
      </w:rPr>
    </w:sdtEndPr>
    <w:sdtContent>
      <w:p w:rsidR="002B45CB" w:rsidRPr="002B45CB" w:rsidRDefault="009E6F47">
        <w:pPr>
          <w:pStyle w:val="a3"/>
          <w:jc w:val="right"/>
          <w:rPr>
            <w:rFonts w:asciiTheme="minorEastAsia" w:hAnsiTheme="minorEastAsia"/>
            <w:sz w:val="28"/>
            <w:szCs w:val="28"/>
          </w:rPr>
        </w:pPr>
        <w:r w:rsidRPr="002B45CB">
          <w:rPr>
            <w:rFonts w:asciiTheme="minorEastAsia" w:hAnsiTheme="minorEastAsia"/>
            <w:sz w:val="28"/>
            <w:szCs w:val="28"/>
          </w:rPr>
          <w:fldChar w:fldCharType="begin"/>
        </w:r>
        <w:r w:rsidRPr="002B45CB">
          <w:rPr>
            <w:rFonts w:asciiTheme="minorEastAsia" w:hAnsiTheme="minorEastAsia"/>
            <w:sz w:val="28"/>
            <w:szCs w:val="28"/>
          </w:rPr>
          <w:instrText>PAGE   \* MERGEFORMAT</w:instrText>
        </w:r>
        <w:r w:rsidRPr="002B45CB">
          <w:rPr>
            <w:rFonts w:asciiTheme="minorEastAsia" w:hAnsiTheme="minorEastAsia"/>
            <w:sz w:val="28"/>
            <w:szCs w:val="28"/>
          </w:rPr>
          <w:fldChar w:fldCharType="separate"/>
        </w:r>
        <w:r w:rsidR="005C17EA" w:rsidRPr="005C17EA">
          <w:rPr>
            <w:rFonts w:asciiTheme="minorEastAsia" w:hAnsiTheme="minorEastAsia"/>
            <w:noProof/>
            <w:sz w:val="28"/>
            <w:szCs w:val="28"/>
            <w:lang w:val="zh-CN"/>
          </w:rPr>
          <w:t>-</w:t>
        </w:r>
        <w:r w:rsidR="005C17EA">
          <w:rPr>
            <w:rFonts w:asciiTheme="minorEastAsia" w:hAnsiTheme="minorEastAsia"/>
            <w:noProof/>
            <w:sz w:val="28"/>
            <w:szCs w:val="28"/>
          </w:rPr>
          <w:t xml:space="preserve"> 11 -</w:t>
        </w:r>
        <w:r w:rsidRPr="002B45CB">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703960"/>
      <w:docPartObj>
        <w:docPartGallery w:val="Page Numbers (Bottom of Page)"/>
        <w:docPartUnique/>
      </w:docPartObj>
    </w:sdtPr>
    <w:sdtEndPr>
      <w:rPr>
        <w:rFonts w:asciiTheme="minorEastAsia" w:hAnsiTheme="minorEastAsia"/>
        <w:sz w:val="28"/>
        <w:szCs w:val="28"/>
      </w:rPr>
    </w:sdtEndPr>
    <w:sdtContent>
      <w:p w:rsidR="00D469D2" w:rsidRPr="00D469D2" w:rsidRDefault="009E6F47">
        <w:pPr>
          <w:pStyle w:val="a3"/>
          <w:jc w:val="center"/>
          <w:rPr>
            <w:rFonts w:asciiTheme="minorEastAsia" w:hAnsiTheme="minorEastAsia"/>
            <w:sz w:val="28"/>
            <w:szCs w:val="28"/>
          </w:rPr>
        </w:pPr>
        <w:r w:rsidRPr="00D469D2">
          <w:rPr>
            <w:rFonts w:asciiTheme="minorEastAsia" w:hAnsiTheme="minorEastAsia"/>
            <w:sz w:val="28"/>
            <w:szCs w:val="28"/>
          </w:rPr>
          <w:fldChar w:fldCharType="begin"/>
        </w:r>
        <w:r w:rsidRPr="00D469D2">
          <w:rPr>
            <w:rFonts w:asciiTheme="minorEastAsia" w:hAnsiTheme="minorEastAsia"/>
            <w:sz w:val="28"/>
            <w:szCs w:val="28"/>
          </w:rPr>
          <w:instrText>PAGE   \* MERGEFORMAT</w:instrText>
        </w:r>
        <w:r w:rsidRPr="00D469D2">
          <w:rPr>
            <w:rFonts w:asciiTheme="minorEastAsia" w:hAnsiTheme="minorEastAsia"/>
            <w:sz w:val="28"/>
            <w:szCs w:val="28"/>
          </w:rPr>
          <w:fldChar w:fldCharType="separate"/>
        </w:r>
        <w:r w:rsidR="005C17EA" w:rsidRPr="005C17EA">
          <w:rPr>
            <w:rFonts w:asciiTheme="minorEastAsia" w:hAnsiTheme="minorEastAsia"/>
            <w:noProof/>
            <w:sz w:val="28"/>
            <w:szCs w:val="28"/>
            <w:lang w:val="zh-CN"/>
          </w:rPr>
          <w:t>-</w:t>
        </w:r>
        <w:r w:rsidR="005C17EA">
          <w:rPr>
            <w:rFonts w:asciiTheme="minorEastAsia" w:hAnsiTheme="minorEastAsia"/>
            <w:noProof/>
            <w:sz w:val="28"/>
            <w:szCs w:val="28"/>
          </w:rPr>
          <w:t xml:space="preserve"> 14 -</w:t>
        </w:r>
        <w:r w:rsidRPr="00D469D2">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82085"/>
      <w:docPartObj>
        <w:docPartGallery w:val="Page Numbers (Bottom of Page)"/>
        <w:docPartUnique/>
      </w:docPartObj>
    </w:sdtPr>
    <w:sdtEndPr>
      <w:rPr>
        <w:rFonts w:asciiTheme="minorEastAsia" w:hAnsiTheme="minorEastAsia"/>
        <w:sz w:val="28"/>
        <w:szCs w:val="28"/>
      </w:rPr>
    </w:sdtEndPr>
    <w:sdtContent>
      <w:p w:rsidR="00667D8D" w:rsidRPr="00667D8D" w:rsidRDefault="009E6F47">
        <w:pPr>
          <w:pStyle w:val="a3"/>
          <w:jc w:val="center"/>
          <w:rPr>
            <w:rFonts w:asciiTheme="minorEastAsia" w:hAnsiTheme="minorEastAsia"/>
            <w:sz w:val="28"/>
            <w:szCs w:val="28"/>
          </w:rPr>
        </w:pPr>
        <w:r w:rsidRPr="00667D8D">
          <w:rPr>
            <w:rFonts w:asciiTheme="minorEastAsia" w:hAnsiTheme="minorEastAsia"/>
            <w:sz w:val="28"/>
            <w:szCs w:val="28"/>
          </w:rPr>
          <w:fldChar w:fldCharType="begin"/>
        </w:r>
        <w:r w:rsidRPr="00667D8D">
          <w:rPr>
            <w:rFonts w:asciiTheme="minorEastAsia" w:hAnsiTheme="minorEastAsia"/>
            <w:sz w:val="28"/>
            <w:szCs w:val="28"/>
          </w:rPr>
          <w:instrText>PAGE   \* MERGEFORMAT</w:instrText>
        </w:r>
        <w:r w:rsidRPr="00667D8D">
          <w:rPr>
            <w:rFonts w:asciiTheme="minorEastAsia" w:hAnsiTheme="minorEastAsia"/>
            <w:sz w:val="28"/>
            <w:szCs w:val="28"/>
          </w:rPr>
          <w:fldChar w:fldCharType="separate"/>
        </w:r>
        <w:r w:rsidR="005C17EA" w:rsidRPr="005C17EA">
          <w:rPr>
            <w:rFonts w:asciiTheme="minorEastAsia" w:hAnsiTheme="minorEastAsia"/>
            <w:noProof/>
            <w:sz w:val="28"/>
            <w:szCs w:val="28"/>
            <w:lang w:val="zh-CN"/>
          </w:rPr>
          <w:t>-</w:t>
        </w:r>
        <w:r w:rsidR="005C17EA">
          <w:rPr>
            <w:rFonts w:asciiTheme="minorEastAsia" w:hAnsiTheme="minorEastAsia"/>
            <w:noProof/>
            <w:sz w:val="28"/>
            <w:szCs w:val="28"/>
          </w:rPr>
          <w:t xml:space="preserve"> 15 -</w:t>
        </w:r>
        <w:r w:rsidRPr="00667D8D">
          <w:rPr>
            <w:rFonts w:ascii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556588296"/>
      <w:docPartObj>
        <w:docPartGallery w:val="Page Numbers (Bottom of Page)"/>
        <w:docPartUnique/>
      </w:docPartObj>
    </w:sdtPr>
    <w:sdtEndPr/>
    <w:sdtContent>
      <w:p w:rsidR="00585C1D" w:rsidRPr="00585C1D" w:rsidRDefault="00585C1D">
        <w:pPr>
          <w:pStyle w:val="a3"/>
          <w:rPr>
            <w:rFonts w:asciiTheme="minorEastAsia" w:hAnsiTheme="minorEastAsia"/>
            <w:sz w:val="28"/>
            <w:szCs w:val="28"/>
          </w:rPr>
        </w:pPr>
        <w:r w:rsidRPr="00585C1D">
          <w:rPr>
            <w:rFonts w:asciiTheme="minorEastAsia" w:hAnsiTheme="minorEastAsia"/>
            <w:sz w:val="28"/>
            <w:szCs w:val="28"/>
          </w:rPr>
          <w:fldChar w:fldCharType="begin"/>
        </w:r>
        <w:r w:rsidRPr="00585C1D">
          <w:rPr>
            <w:rFonts w:asciiTheme="minorEastAsia" w:hAnsiTheme="minorEastAsia"/>
            <w:sz w:val="28"/>
            <w:szCs w:val="28"/>
          </w:rPr>
          <w:instrText>PAGE   \* MERGEFORMAT</w:instrText>
        </w:r>
        <w:r w:rsidRPr="00585C1D">
          <w:rPr>
            <w:rFonts w:asciiTheme="minorEastAsia" w:hAnsiTheme="minorEastAsia"/>
            <w:sz w:val="28"/>
            <w:szCs w:val="28"/>
          </w:rPr>
          <w:fldChar w:fldCharType="separate"/>
        </w:r>
        <w:r w:rsidR="005C17EA" w:rsidRPr="005C17EA">
          <w:rPr>
            <w:rFonts w:asciiTheme="minorEastAsia" w:hAnsiTheme="minorEastAsia"/>
            <w:noProof/>
            <w:sz w:val="28"/>
            <w:szCs w:val="28"/>
            <w:lang w:val="zh-CN"/>
          </w:rPr>
          <w:t>-</w:t>
        </w:r>
        <w:r w:rsidR="005C17EA">
          <w:rPr>
            <w:rFonts w:asciiTheme="minorEastAsia" w:hAnsiTheme="minorEastAsia"/>
            <w:noProof/>
            <w:sz w:val="28"/>
            <w:szCs w:val="28"/>
          </w:rPr>
          <w:t xml:space="preserve"> 16 -</w:t>
        </w:r>
        <w:r w:rsidRPr="00585C1D">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6E" w:rsidRDefault="00F5486E">
      <w:r>
        <w:separator/>
      </w:r>
    </w:p>
  </w:footnote>
  <w:footnote w:type="continuationSeparator" w:id="0">
    <w:p w:rsidR="00F5486E" w:rsidRDefault="00F54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E"/>
    <w:rsid w:val="00061F3D"/>
    <w:rsid w:val="00095118"/>
    <w:rsid w:val="000E7579"/>
    <w:rsid w:val="002313DB"/>
    <w:rsid w:val="004175FC"/>
    <w:rsid w:val="00432671"/>
    <w:rsid w:val="00466718"/>
    <w:rsid w:val="00585C1D"/>
    <w:rsid w:val="005C17EA"/>
    <w:rsid w:val="00801745"/>
    <w:rsid w:val="008C7C87"/>
    <w:rsid w:val="009E6F47"/>
    <w:rsid w:val="00A76452"/>
    <w:rsid w:val="00A94772"/>
    <w:rsid w:val="00B77CDD"/>
    <w:rsid w:val="00BB07EE"/>
    <w:rsid w:val="00BC34E2"/>
    <w:rsid w:val="00BC6200"/>
    <w:rsid w:val="00DA6922"/>
    <w:rsid w:val="00DB4F05"/>
    <w:rsid w:val="00E26D9D"/>
    <w:rsid w:val="00E8760E"/>
    <w:rsid w:val="00F37D9F"/>
    <w:rsid w:val="00F5486E"/>
    <w:rsid w:val="00F77EE8"/>
    <w:rsid w:val="00FF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223C5A-4D03-41E7-B0F5-85442514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
    <w:name w:val="正文 New New New New New New New New New New New New New New New New New New New New New New New New New New New"/>
    <w:rsid w:val="00E8760E"/>
    <w:pPr>
      <w:widowControl w:val="0"/>
      <w:jc w:val="both"/>
    </w:pPr>
    <w:rPr>
      <w:rFonts w:ascii="Times New Roman" w:eastAsia="宋体" w:hAnsi="Times New Roman" w:cs="Times New Roman"/>
      <w:szCs w:val="24"/>
    </w:rPr>
  </w:style>
  <w:style w:type="paragraph" w:styleId="a3">
    <w:name w:val="footer"/>
    <w:basedOn w:val="a"/>
    <w:link w:val="Char"/>
    <w:uiPriority w:val="99"/>
    <w:unhideWhenUsed/>
    <w:rsid w:val="00E8760E"/>
    <w:pPr>
      <w:tabs>
        <w:tab w:val="center" w:pos="4153"/>
        <w:tab w:val="right" w:pos="8306"/>
      </w:tabs>
      <w:snapToGrid w:val="0"/>
      <w:jc w:val="left"/>
    </w:pPr>
    <w:rPr>
      <w:sz w:val="18"/>
      <w:szCs w:val="18"/>
    </w:rPr>
  </w:style>
  <w:style w:type="character" w:customStyle="1" w:styleId="Char">
    <w:name w:val="页脚 Char"/>
    <w:basedOn w:val="a0"/>
    <w:link w:val="a3"/>
    <w:uiPriority w:val="99"/>
    <w:rsid w:val="00E8760E"/>
    <w:rPr>
      <w:sz w:val="18"/>
      <w:szCs w:val="18"/>
    </w:rPr>
  </w:style>
  <w:style w:type="paragraph" w:styleId="a4">
    <w:name w:val="header"/>
    <w:basedOn w:val="a"/>
    <w:link w:val="Char0"/>
    <w:uiPriority w:val="99"/>
    <w:unhideWhenUsed/>
    <w:rsid w:val="00FF32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328B"/>
    <w:rPr>
      <w:sz w:val="18"/>
      <w:szCs w:val="18"/>
    </w:rPr>
  </w:style>
  <w:style w:type="paragraph" w:styleId="a5">
    <w:name w:val="Balloon Text"/>
    <w:basedOn w:val="a"/>
    <w:link w:val="Char1"/>
    <w:uiPriority w:val="99"/>
    <w:semiHidden/>
    <w:unhideWhenUsed/>
    <w:rsid w:val="004175FC"/>
    <w:rPr>
      <w:sz w:val="18"/>
      <w:szCs w:val="18"/>
    </w:rPr>
  </w:style>
  <w:style w:type="character" w:customStyle="1" w:styleId="Char1">
    <w:name w:val="批注框文本 Char"/>
    <w:basedOn w:val="a0"/>
    <w:link w:val="a5"/>
    <w:uiPriority w:val="99"/>
    <w:semiHidden/>
    <w:rsid w:val="004175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1351</Words>
  <Characters>7703</Characters>
  <Application>Microsoft Office Word</Application>
  <DocSecurity>0</DocSecurity>
  <Lines>64</Lines>
  <Paragraphs>18</Paragraphs>
  <ScaleCrop>false</ScaleCrop>
  <Company>Microsoft</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2019-06-10T08:53:00Z</cp:lastPrinted>
  <dcterms:created xsi:type="dcterms:W3CDTF">2019-06-12T01:56:00Z</dcterms:created>
  <dcterms:modified xsi:type="dcterms:W3CDTF">2019-06-12T01:56:00Z</dcterms:modified>
</cp:coreProperties>
</file>